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1071"/>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276"/>
        <w:gridCol w:w="1394"/>
        <w:gridCol w:w="6897"/>
        <w:gridCol w:w="5128"/>
      </w:tblGrid>
      <w:tr w:rsidR="00C019E3" w:rsidRPr="00C2454A" w14:paraId="4A78FA56" w14:textId="77777777" w:rsidTr="00D9718E">
        <w:tc>
          <w:tcPr>
            <w:tcW w:w="15257" w:type="dxa"/>
            <w:gridSpan w:val="5"/>
            <w:shd w:val="clear" w:color="auto" w:fill="auto"/>
            <w:vAlign w:val="center"/>
          </w:tcPr>
          <w:p w14:paraId="03E6DB55" w14:textId="77777777" w:rsidR="00C019E3" w:rsidRPr="00C2454A" w:rsidRDefault="00C019E3" w:rsidP="005F2CC4">
            <w:pPr>
              <w:spacing w:before="120" w:after="120" w:line="240" w:lineRule="auto"/>
              <w:jc w:val="both"/>
              <w:rPr>
                <w:rFonts w:ascii="Times New Roman" w:eastAsia="Times New Roman" w:hAnsi="Times New Roman" w:cs="Times New Roman"/>
                <w:b/>
                <w:i/>
                <w:lang w:eastAsia="pl-PL"/>
              </w:rPr>
            </w:pPr>
            <w:r w:rsidRPr="00C2454A">
              <w:rPr>
                <w:rFonts w:ascii="Times New Roman" w:eastAsia="Times New Roman" w:hAnsi="Times New Roman" w:cs="Times New Roman"/>
                <w:b/>
                <w:i/>
                <w:lang w:eastAsia="pl-PL"/>
              </w:rPr>
              <w:t xml:space="preserve">Nazwa dokumentu: projekt ustawy o zmianie ustawy o udziale Rzeczypospolitej Polskiej w Systemie Informacyjnym </w:t>
            </w:r>
            <w:proofErr w:type="spellStart"/>
            <w:r w:rsidRPr="00C2454A">
              <w:rPr>
                <w:rFonts w:ascii="Times New Roman" w:eastAsia="Times New Roman" w:hAnsi="Times New Roman" w:cs="Times New Roman"/>
                <w:b/>
                <w:i/>
                <w:lang w:eastAsia="pl-PL"/>
              </w:rPr>
              <w:t>Schengen</w:t>
            </w:r>
            <w:proofErr w:type="spellEnd"/>
            <w:r w:rsidRPr="00C2454A">
              <w:rPr>
                <w:rFonts w:ascii="Times New Roman" w:eastAsia="Times New Roman" w:hAnsi="Times New Roman" w:cs="Times New Roman"/>
                <w:b/>
                <w:i/>
                <w:lang w:eastAsia="pl-PL"/>
              </w:rPr>
              <w:t xml:space="preserve"> oraz Wizowym Systemie Informacyjnym</w:t>
            </w:r>
          </w:p>
        </w:tc>
      </w:tr>
      <w:tr w:rsidR="00FB7994" w:rsidRPr="00C2454A" w14:paraId="680FFE7C" w14:textId="77777777" w:rsidTr="00D9718E">
        <w:tc>
          <w:tcPr>
            <w:tcW w:w="562" w:type="dxa"/>
            <w:shd w:val="clear" w:color="auto" w:fill="auto"/>
            <w:vAlign w:val="center"/>
          </w:tcPr>
          <w:p w14:paraId="1E288066" w14:textId="2BE28F6D" w:rsidR="00FB7994" w:rsidRPr="00C2454A" w:rsidRDefault="00FB7994" w:rsidP="00C019E3">
            <w:pPr>
              <w:spacing w:after="0" w:line="276" w:lineRule="auto"/>
              <w:jc w:val="both"/>
              <w:rPr>
                <w:rFonts w:ascii="Times New Roman" w:eastAsia="Times New Roman" w:hAnsi="Times New Roman" w:cs="Times New Roman"/>
                <w:b/>
                <w:lang w:eastAsia="pl-PL"/>
              </w:rPr>
            </w:pPr>
            <w:proofErr w:type="spellStart"/>
            <w:r w:rsidRPr="00C2454A">
              <w:rPr>
                <w:rFonts w:ascii="Times New Roman" w:eastAsia="Times New Roman" w:hAnsi="Times New Roman" w:cs="Times New Roman"/>
                <w:b/>
                <w:lang w:eastAsia="pl-PL"/>
              </w:rPr>
              <w:t>Lp</w:t>
            </w:r>
            <w:proofErr w:type="spellEnd"/>
          </w:p>
        </w:tc>
        <w:tc>
          <w:tcPr>
            <w:tcW w:w="1276" w:type="dxa"/>
            <w:shd w:val="clear" w:color="auto" w:fill="auto"/>
            <w:vAlign w:val="center"/>
          </w:tcPr>
          <w:p w14:paraId="12D283A7" w14:textId="77777777" w:rsidR="00FB7994" w:rsidRPr="00C2454A" w:rsidRDefault="00FB7994" w:rsidP="005F2CC4">
            <w:pPr>
              <w:spacing w:after="0" w:line="276" w:lineRule="auto"/>
              <w:jc w:val="center"/>
              <w:rPr>
                <w:rFonts w:ascii="Times New Roman" w:eastAsia="Times New Roman" w:hAnsi="Times New Roman" w:cs="Times New Roman"/>
                <w:b/>
                <w:lang w:eastAsia="pl-PL"/>
              </w:rPr>
            </w:pPr>
            <w:r w:rsidRPr="00C2454A">
              <w:rPr>
                <w:rFonts w:ascii="Times New Roman" w:eastAsia="Times New Roman" w:hAnsi="Times New Roman" w:cs="Times New Roman"/>
                <w:b/>
                <w:lang w:eastAsia="pl-PL"/>
              </w:rPr>
              <w:t>Podmiot wnoszący uwagi</w:t>
            </w:r>
          </w:p>
        </w:tc>
        <w:tc>
          <w:tcPr>
            <w:tcW w:w="1394" w:type="dxa"/>
            <w:vAlign w:val="center"/>
          </w:tcPr>
          <w:p w14:paraId="311152CB" w14:textId="77777777" w:rsidR="00FB7994" w:rsidRPr="00C2454A" w:rsidRDefault="00FB7994" w:rsidP="00C019E3">
            <w:pPr>
              <w:spacing w:after="0" w:line="276" w:lineRule="auto"/>
              <w:jc w:val="both"/>
              <w:rPr>
                <w:rFonts w:ascii="Times New Roman" w:eastAsia="Times New Roman" w:hAnsi="Times New Roman" w:cs="Times New Roman"/>
                <w:b/>
                <w:lang w:eastAsia="pl-PL"/>
              </w:rPr>
            </w:pPr>
            <w:r w:rsidRPr="00C2454A">
              <w:rPr>
                <w:rFonts w:ascii="Times New Roman" w:eastAsia="Times New Roman" w:hAnsi="Times New Roman" w:cs="Times New Roman"/>
                <w:b/>
                <w:lang w:eastAsia="pl-PL"/>
              </w:rPr>
              <w:t xml:space="preserve">Jednostka redakcyjna, do której wnoszone są uwagi </w:t>
            </w:r>
          </w:p>
        </w:tc>
        <w:tc>
          <w:tcPr>
            <w:tcW w:w="6897" w:type="dxa"/>
            <w:shd w:val="clear" w:color="auto" w:fill="auto"/>
            <w:vAlign w:val="center"/>
          </w:tcPr>
          <w:p w14:paraId="00A20746" w14:textId="77777777" w:rsidR="00FB7994" w:rsidRPr="00C2454A" w:rsidRDefault="00FB7994" w:rsidP="00FB7994">
            <w:pPr>
              <w:spacing w:after="0" w:line="276" w:lineRule="auto"/>
              <w:jc w:val="center"/>
              <w:rPr>
                <w:rFonts w:ascii="Times New Roman" w:eastAsia="Times New Roman" w:hAnsi="Times New Roman" w:cs="Times New Roman"/>
                <w:b/>
                <w:lang w:eastAsia="pl-PL"/>
              </w:rPr>
            </w:pPr>
            <w:r w:rsidRPr="00C2454A">
              <w:rPr>
                <w:rFonts w:ascii="Times New Roman" w:eastAsia="Times New Roman" w:hAnsi="Times New Roman" w:cs="Times New Roman"/>
                <w:b/>
                <w:lang w:eastAsia="pl-PL"/>
              </w:rPr>
              <w:t>Treść uwagi</w:t>
            </w:r>
          </w:p>
        </w:tc>
        <w:tc>
          <w:tcPr>
            <w:tcW w:w="5128" w:type="dxa"/>
            <w:shd w:val="clear" w:color="auto" w:fill="auto"/>
            <w:vAlign w:val="center"/>
          </w:tcPr>
          <w:p w14:paraId="38F69DC9" w14:textId="77777777" w:rsidR="00FB7994" w:rsidRPr="00C2454A" w:rsidRDefault="00FB7994" w:rsidP="00FB7994">
            <w:pPr>
              <w:spacing w:after="0" w:line="276" w:lineRule="auto"/>
              <w:jc w:val="center"/>
              <w:rPr>
                <w:rFonts w:ascii="Times New Roman" w:eastAsia="Times New Roman" w:hAnsi="Times New Roman" w:cs="Times New Roman"/>
                <w:b/>
                <w:lang w:eastAsia="pl-PL"/>
              </w:rPr>
            </w:pPr>
            <w:r w:rsidRPr="00C2454A">
              <w:rPr>
                <w:rFonts w:ascii="Times New Roman" w:eastAsia="Times New Roman" w:hAnsi="Times New Roman" w:cs="Times New Roman"/>
                <w:b/>
                <w:lang w:eastAsia="pl-PL"/>
              </w:rPr>
              <w:t>Odniesienie do uwagi</w:t>
            </w:r>
          </w:p>
        </w:tc>
      </w:tr>
      <w:tr w:rsidR="00FB7994" w:rsidRPr="00C2454A" w14:paraId="25D7A6B0" w14:textId="77777777" w:rsidTr="00800B61">
        <w:tc>
          <w:tcPr>
            <w:tcW w:w="562" w:type="dxa"/>
            <w:tcBorders>
              <w:bottom w:val="single" w:sz="4" w:space="0" w:color="auto"/>
            </w:tcBorders>
            <w:shd w:val="clear" w:color="auto" w:fill="auto"/>
            <w:vAlign w:val="center"/>
          </w:tcPr>
          <w:p w14:paraId="48A2CC6A" w14:textId="77777777" w:rsidR="00FB7994" w:rsidRPr="00BE5BC1"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4" w:space="0" w:color="auto"/>
            </w:tcBorders>
            <w:shd w:val="clear" w:color="auto" w:fill="auto"/>
            <w:vAlign w:val="center"/>
          </w:tcPr>
          <w:p w14:paraId="2888D188" w14:textId="77777777" w:rsidR="00FB7994" w:rsidRPr="00BE5BC1" w:rsidRDefault="00FB7994" w:rsidP="005F2CC4">
            <w:pPr>
              <w:spacing w:line="276" w:lineRule="auto"/>
              <w:jc w:val="center"/>
              <w:rPr>
                <w:rFonts w:ascii="Times New Roman" w:hAnsi="Times New Roman" w:cs="Times New Roman"/>
              </w:rPr>
            </w:pPr>
            <w:r w:rsidRPr="00BE5BC1">
              <w:rPr>
                <w:rFonts w:ascii="Times New Roman" w:hAnsi="Times New Roman" w:cs="Times New Roman"/>
              </w:rPr>
              <w:t>DPUE</w:t>
            </w:r>
          </w:p>
          <w:p w14:paraId="23DB0BC6" w14:textId="77777777" w:rsidR="00FB7994" w:rsidRPr="00BE5BC1" w:rsidRDefault="00FB7994" w:rsidP="005F2CC4">
            <w:pPr>
              <w:spacing w:after="0" w:line="276" w:lineRule="auto"/>
              <w:jc w:val="center"/>
              <w:rPr>
                <w:rFonts w:ascii="Times New Roman" w:eastAsia="Times New Roman" w:hAnsi="Times New Roman" w:cs="Times New Roman"/>
                <w:lang w:eastAsia="pl-PL"/>
              </w:rPr>
            </w:pPr>
          </w:p>
        </w:tc>
        <w:tc>
          <w:tcPr>
            <w:tcW w:w="1394" w:type="dxa"/>
            <w:tcBorders>
              <w:bottom w:val="single" w:sz="4" w:space="0" w:color="auto"/>
            </w:tcBorders>
            <w:shd w:val="clear" w:color="auto" w:fill="auto"/>
            <w:vAlign w:val="center"/>
          </w:tcPr>
          <w:p w14:paraId="255F7BB4" w14:textId="77777777" w:rsidR="00FB7994" w:rsidRPr="00BE5BC1" w:rsidRDefault="00FB7994" w:rsidP="00C019E3">
            <w:pPr>
              <w:spacing w:after="0" w:line="276" w:lineRule="auto"/>
              <w:jc w:val="both"/>
              <w:rPr>
                <w:rFonts w:ascii="Times New Roman" w:eastAsia="Times New Roman" w:hAnsi="Times New Roman" w:cs="Times New Roman"/>
                <w:lang w:eastAsia="pl-PL"/>
              </w:rPr>
            </w:pPr>
            <w:r w:rsidRPr="00BE5BC1">
              <w:rPr>
                <w:rFonts w:ascii="Times New Roman" w:eastAsia="Times New Roman" w:hAnsi="Times New Roman" w:cs="Times New Roman"/>
                <w:lang w:eastAsia="pl-PL"/>
              </w:rPr>
              <w:t>-</w:t>
            </w:r>
          </w:p>
        </w:tc>
        <w:tc>
          <w:tcPr>
            <w:tcW w:w="6897" w:type="dxa"/>
            <w:tcBorders>
              <w:bottom w:val="single" w:sz="4" w:space="0" w:color="auto"/>
            </w:tcBorders>
            <w:shd w:val="clear" w:color="auto" w:fill="auto"/>
          </w:tcPr>
          <w:p w14:paraId="5B197AE3" w14:textId="058F962B" w:rsidR="00FB7994" w:rsidRPr="00BE5BC1" w:rsidRDefault="00FB7994" w:rsidP="00C019E3">
            <w:pPr>
              <w:spacing w:after="0" w:line="276" w:lineRule="auto"/>
              <w:jc w:val="both"/>
              <w:rPr>
                <w:rFonts w:ascii="Times New Roman" w:eastAsia="Times New Roman" w:hAnsi="Times New Roman" w:cs="Times New Roman"/>
                <w:lang w:eastAsia="pl-PL"/>
              </w:rPr>
            </w:pPr>
            <w:r w:rsidRPr="00BE5BC1">
              <w:rPr>
                <w:rFonts w:ascii="Times New Roman" w:eastAsia="Times New Roman" w:hAnsi="Times New Roman" w:cs="Times New Roman"/>
                <w:lang w:eastAsia="pl-PL"/>
              </w:rPr>
              <w:t>prośba o przedstawienie tabeli zbieżności /przeszkoda formalna dla sprecyzowania ew. uwag/</w:t>
            </w:r>
          </w:p>
          <w:p w14:paraId="45E40732" w14:textId="77777777" w:rsidR="003E773F" w:rsidRDefault="00FB7994" w:rsidP="00552AFF">
            <w:pPr>
              <w:spacing w:after="0" w:line="276" w:lineRule="auto"/>
              <w:jc w:val="both"/>
              <w:rPr>
                <w:rFonts w:ascii="Times New Roman" w:eastAsia="Times New Roman" w:hAnsi="Times New Roman" w:cs="Times New Roman"/>
                <w:lang w:eastAsia="pl-PL"/>
              </w:rPr>
            </w:pPr>
            <w:r w:rsidRPr="00BE5BC1">
              <w:rPr>
                <w:rFonts w:ascii="Times New Roman" w:eastAsia="Times New Roman" w:hAnsi="Times New Roman" w:cs="Times New Roman"/>
                <w:lang w:eastAsia="pl-PL"/>
              </w:rPr>
              <w:t>- tabelaryczne zestawienie przepisów prawa UE i projektowanych przepisów krajowych ze wskazaniem sposobu, w jaki poszczególne przepisy aktu UE są wykonywane w krajowym porządku prawnym</w:t>
            </w:r>
          </w:p>
          <w:p w14:paraId="7B8C2FC7" w14:textId="57F4F5D9" w:rsidR="00FB7994" w:rsidRPr="00BE5BC1" w:rsidRDefault="00FB7994" w:rsidP="00552AFF">
            <w:pPr>
              <w:spacing w:after="0" w:line="276" w:lineRule="auto"/>
              <w:jc w:val="both"/>
              <w:rPr>
                <w:rFonts w:ascii="Times New Roman" w:eastAsia="Times New Roman" w:hAnsi="Times New Roman" w:cs="Times New Roman"/>
                <w:lang w:eastAsia="pl-PL"/>
              </w:rPr>
            </w:pPr>
            <w:r w:rsidRPr="00BE5BC1">
              <w:rPr>
                <w:rFonts w:ascii="Times New Roman" w:eastAsia="Times New Roman" w:hAnsi="Times New Roman" w:cs="Times New Roman"/>
                <w:lang w:eastAsia="pl-PL"/>
              </w:rPr>
              <w:t>(pkt 15 lit. b) Procedury</w:t>
            </w:r>
            <w:r w:rsidR="003E773F">
              <w:rPr>
                <w:rFonts w:ascii="Times New Roman" w:eastAsia="Times New Roman" w:hAnsi="Times New Roman" w:cs="Times New Roman"/>
                <w:lang w:eastAsia="pl-PL"/>
              </w:rPr>
              <w:t xml:space="preserve"> Transpozycji Aktów Prawnych UE</w:t>
            </w:r>
            <w:r w:rsidRPr="00BE5BC1">
              <w:rPr>
                <w:rFonts w:ascii="Times New Roman" w:eastAsia="Times New Roman" w:hAnsi="Times New Roman" w:cs="Times New Roman"/>
                <w:lang w:eastAsia="pl-PL"/>
              </w:rPr>
              <w:t xml:space="preserve"> przyjętej przez KSE)</w:t>
            </w:r>
          </w:p>
        </w:tc>
        <w:tc>
          <w:tcPr>
            <w:tcW w:w="5128" w:type="dxa"/>
            <w:tcBorders>
              <w:bottom w:val="single" w:sz="4" w:space="0" w:color="auto"/>
            </w:tcBorders>
            <w:shd w:val="clear" w:color="auto" w:fill="auto"/>
          </w:tcPr>
          <w:p w14:paraId="1448DC00" w14:textId="65B9543C" w:rsidR="000C3948" w:rsidRPr="00C2454A" w:rsidRDefault="00C80FD7" w:rsidP="000C3948">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uzgodniono potrzebę </w:t>
            </w:r>
            <w:r w:rsidRPr="000C3948">
              <w:rPr>
                <w:rFonts w:ascii="Times New Roman" w:eastAsia="Times New Roman" w:hAnsi="Times New Roman" w:cs="Times New Roman"/>
                <w:lang w:eastAsia="pl-PL"/>
              </w:rPr>
              <w:t>przekazan</w:t>
            </w:r>
            <w:r>
              <w:rPr>
                <w:rFonts w:ascii="Times New Roman" w:eastAsia="Times New Roman" w:hAnsi="Times New Roman" w:cs="Times New Roman"/>
                <w:lang w:eastAsia="pl-PL"/>
              </w:rPr>
              <w:t>ia</w:t>
            </w:r>
            <w:r w:rsidRPr="000C3948">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skorygowanej </w:t>
            </w:r>
            <w:r w:rsidR="004D012F" w:rsidRPr="000C3948">
              <w:rPr>
                <w:rFonts w:ascii="Times New Roman" w:eastAsia="Times New Roman" w:hAnsi="Times New Roman" w:cs="Times New Roman"/>
                <w:lang w:eastAsia="pl-PL"/>
              </w:rPr>
              <w:t>ta</w:t>
            </w:r>
            <w:r w:rsidR="00222B33">
              <w:rPr>
                <w:rFonts w:ascii="Times New Roman" w:eastAsia="Times New Roman" w:hAnsi="Times New Roman" w:cs="Times New Roman"/>
                <w:lang w:eastAsia="pl-PL"/>
              </w:rPr>
              <w:t>beli</w:t>
            </w:r>
            <w:r w:rsidR="00FB7994" w:rsidRPr="000C3948">
              <w:rPr>
                <w:rFonts w:ascii="Times New Roman" w:eastAsia="Times New Roman" w:hAnsi="Times New Roman" w:cs="Times New Roman"/>
                <w:lang w:eastAsia="pl-PL"/>
              </w:rPr>
              <w:t xml:space="preserve"> zgodności </w:t>
            </w:r>
          </w:p>
          <w:p w14:paraId="26DDCB94" w14:textId="5E250F50" w:rsidR="00FA36FE" w:rsidRPr="00C2454A" w:rsidRDefault="00FA36FE" w:rsidP="004D012F">
            <w:pPr>
              <w:spacing w:after="0" w:line="276" w:lineRule="auto"/>
              <w:rPr>
                <w:rFonts w:ascii="Times New Roman" w:eastAsia="Times New Roman" w:hAnsi="Times New Roman" w:cs="Times New Roman"/>
                <w:lang w:eastAsia="pl-PL"/>
              </w:rPr>
            </w:pPr>
          </w:p>
        </w:tc>
      </w:tr>
      <w:tr w:rsidR="00642E70" w:rsidRPr="00C2454A" w14:paraId="44DEA73E" w14:textId="77777777" w:rsidTr="009F62B3">
        <w:tc>
          <w:tcPr>
            <w:tcW w:w="562" w:type="dxa"/>
            <w:tcBorders>
              <w:bottom w:val="single" w:sz="4" w:space="0" w:color="auto"/>
            </w:tcBorders>
            <w:shd w:val="clear" w:color="auto" w:fill="auto"/>
            <w:vAlign w:val="center"/>
          </w:tcPr>
          <w:p w14:paraId="0E43D951" w14:textId="77777777" w:rsidR="00642E70" w:rsidRPr="00C2454A" w:rsidRDefault="00642E70"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4" w:space="0" w:color="auto"/>
            </w:tcBorders>
            <w:shd w:val="clear" w:color="auto" w:fill="auto"/>
            <w:vAlign w:val="center"/>
          </w:tcPr>
          <w:p w14:paraId="5BF4A635" w14:textId="1ECF7FD6" w:rsidR="00642E70" w:rsidRPr="00C2454A" w:rsidRDefault="00642E70" w:rsidP="005F2CC4">
            <w:pPr>
              <w:spacing w:line="276" w:lineRule="auto"/>
              <w:jc w:val="center"/>
              <w:rPr>
                <w:rFonts w:ascii="Times New Roman" w:hAnsi="Times New Roman" w:cs="Times New Roman"/>
              </w:rPr>
            </w:pPr>
            <w:r w:rsidRPr="00C2454A">
              <w:rPr>
                <w:rFonts w:ascii="Times New Roman" w:hAnsi="Times New Roman" w:cs="Times New Roman"/>
              </w:rPr>
              <w:t>DPUE</w:t>
            </w:r>
          </w:p>
        </w:tc>
        <w:tc>
          <w:tcPr>
            <w:tcW w:w="1394" w:type="dxa"/>
            <w:tcBorders>
              <w:bottom w:val="single" w:sz="4" w:space="0" w:color="auto"/>
            </w:tcBorders>
            <w:shd w:val="clear" w:color="auto" w:fill="auto"/>
            <w:vAlign w:val="center"/>
          </w:tcPr>
          <w:p w14:paraId="006C4052" w14:textId="77777777" w:rsidR="00642E70" w:rsidRPr="00C2454A" w:rsidRDefault="00642E70"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ust. 3</w:t>
            </w:r>
          </w:p>
          <w:p w14:paraId="5399186B" w14:textId="53EC3685" w:rsidR="001E5169" w:rsidRPr="00C2454A" w:rsidRDefault="001E5169"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pkt 1-4</w:t>
            </w:r>
          </w:p>
        </w:tc>
        <w:tc>
          <w:tcPr>
            <w:tcW w:w="6897" w:type="dxa"/>
            <w:tcBorders>
              <w:bottom w:val="single" w:sz="4" w:space="0" w:color="auto"/>
            </w:tcBorders>
            <w:shd w:val="clear" w:color="auto" w:fill="auto"/>
          </w:tcPr>
          <w:p w14:paraId="37E5028B" w14:textId="77777777" w:rsidR="00642E70" w:rsidRPr="002B55D8" w:rsidRDefault="00642E70" w:rsidP="00642E70">
            <w:pPr>
              <w:spacing w:after="0" w:line="276" w:lineRule="auto"/>
              <w:jc w:val="both"/>
              <w:rPr>
                <w:rFonts w:ascii="Times New Roman" w:eastAsia="Times New Roman" w:hAnsi="Times New Roman" w:cs="Times New Roman"/>
                <w:lang w:eastAsia="pl-PL"/>
              </w:rPr>
            </w:pPr>
            <w:r w:rsidRPr="009F62B3">
              <w:rPr>
                <w:rFonts w:ascii="Times New Roman" w:eastAsia="Times New Roman" w:hAnsi="Times New Roman" w:cs="Times New Roman"/>
                <w:lang w:eastAsia="pl-PL"/>
              </w:rPr>
              <w:t xml:space="preserve">wymaga odpowiedniej </w:t>
            </w:r>
            <w:r w:rsidRPr="002B55D8">
              <w:rPr>
                <w:rFonts w:ascii="Times New Roman" w:eastAsia="Times New Roman" w:hAnsi="Times New Roman" w:cs="Times New Roman"/>
                <w:lang w:eastAsia="pl-PL"/>
              </w:rPr>
              <w:t>zmiany</w:t>
            </w:r>
          </w:p>
          <w:p w14:paraId="091F935D" w14:textId="6D5089A2" w:rsidR="00300D6D" w:rsidRPr="009F62B3" w:rsidRDefault="00642E70" w:rsidP="00D31CFA">
            <w:pPr>
              <w:spacing w:after="0" w:line="276" w:lineRule="auto"/>
              <w:jc w:val="both"/>
              <w:rPr>
                <w:rFonts w:ascii="Times New Roman" w:hAnsi="Times New Roman" w:cs="Times New Roman"/>
              </w:rPr>
            </w:pPr>
            <w:r w:rsidRPr="002B55D8">
              <w:rPr>
                <w:rFonts w:ascii="Times New Roman" w:eastAsia="Times New Roman" w:hAnsi="Times New Roman" w:cs="Times New Roman"/>
                <w:lang w:eastAsia="pl-PL"/>
              </w:rPr>
              <w:t>U:</w:t>
            </w:r>
            <w:r w:rsidR="005247C0" w:rsidRPr="002B55D8">
              <w:rPr>
                <w:rFonts w:ascii="Times New Roman" w:eastAsia="Times New Roman" w:hAnsi="Times New Roman" w:cs="Times New Roman"/>
                <w:lang w:eastAsia="pl-PL"/>
              </w:rPr>
              <w:t xml:space="preserve"> p</w:t>
            </w:r>
            <w:r w:rsidR="001E5169" w:rsidRPr="002B55D8">
              <w:rPr>
                <w:rFonts w:ascii="Times New Roman" w:eastAsia="Times New Roman" w:hAnsi="Times New Roman" w:cs="Times New Roman"/>
                <w:lang w:eastAsia="pl-PL"/>
              </w:rPr>
              <w:t xml:space="preserve">kt  1 i 2 de facto powtarza uregulowania zawarte </w:t>
            </w:r>
            <w:r w:rsidR="001E5169" w:rsidRPr="009F62B3">
              <w:rPr>
                <w:rFonts w:ascii="Times New Roman" w:eastAsia="Times New Roman" w:hAnsi="Times New Roman" w:cs="Times New Roman"/>
                <w:lang w:eastAsia="pl-PL"/>
              </w:rPr>
              <w:t xml:space="preserve">w art. 44 ust. 1 i 2 rozporządzenia 2018/1861 i w art. 59 ust. 1 i 2 rozporządzenia 2018/1862; także pkt 3 i 4 ustawy zredagowane są w sposób stanowiący powtórzenie wymienionych w nich przepisów </w:t>
            </w:r>
            <w:r w:rsidR="00300D6D" w:rsidRPr="009F62B3">
              <w:rPr>
                <w:rFonts w:ascii="Times New Roman" w:eastAsia="Times New Roman" w:hAnsi="Times New Roman" w:cs="Times New Roman"/>
                <w:lang w:eastAsia="pl-PL"/>
              </w:rPr>
              <w:t xml:space="preserve">- </w:t>
            </w:r>
            <w:r w:rsidR="00300D6D" w:rsidRPr="009F62B3">
              <w:rPr>
                <w:rFonts w:ascii="Times New Roman" w:hAnsi="Times New Roman" w:cs="Times New Roman"/>
              </w:rPr>
              <w:t>art. 39 i 40 rozporządzenia 2018/1861 oraz z art. 53 ust. 1–6, art. 54 i 55 rozporządzenia 2018/1862;</w:t>
            </w:r>
          </w:p>
          <w:p w14:paraId="334AA08E" w14:textId="0424FAD0" w:rsidR="00D31CFA" w:rsidRPr="009F62B3" w:rsidRDefault="00D31CFA" w:rsidP="00D12104">
            <w:pPr>
              <w:spacing w:after="0" w:line="276" w:lineRule="auto"/>
              <w:jc w:val="both"/>
              <w:rPr>
                <w:rFonts w:ascii="Times New Roman" w:eastAsia="Times New Roman" w:hAnsi="Times New Roman" w:cs="Times New Roman"/>
                <w:lang w:eastAsia="pl-PL"/>
              </w:rPr>
            </w:pPr>
            <w:r w:rsidRPr="009F62B3">
              <w:rPr>
                <w:rFonts w:ascii="Times New Roman" w:eastAsia="Times New Roman" w:hAnsi="Times New Roman" w:cs="Times New Roman"/>
                <w:lang w:eastAsia="pl-PL"/>
              </w:rPr>
              <w:t>- natomiast</w:t>
            </w:r>
            <w:r w:rsidRPr="009F62B3">
              <w:rPr>
                <w:rFonts w:ascii="Times New Roman" w:hAnsi="Times New Roman" w:cs="Times New Roman"/>
                <w:color w:val="000000"/>
                <w:lang w:bidi="pl-PL"/>
              </w:rPr>
              <w:t xml:space="preserve"> rozporządzenie jest bezpośrednio stosowane i wiąże w całości -</w:t>
            </w:r>
            <w:r w:rsidRPr="009F62B3">
              <w:rPr>
                <w:rFonts w:ascii="Times New Roman" w:hAnsi="Times New Roman" w:cs="Times New Roman"/>
                <w:iCs/>
                <w:color w:val="000000"/>
                <w:lang w:bidi="pl-PL"/>
              </w:rPr>
              <w:t xml:space="preserve"> wchodzi w życie (...) nie wymagając przy tym jakichkolwiek działań w celu transformacji w prawo krajowe (</w:t>
            </w:r>
            <w:r w:rsidRPr="009F62B3">
              <w:rPr>
                <w:rFonts w:ascii="Times New Roman" w:hAnsi="Times New Roman" w:cs="Times New Roman"/>
                <w:color w:val="000000"/>
                <w:lang w:bidi="pl-PL"/>
              </w:rPr>
              <w:t>art. 288 akapit drugi Traktatu o Funkcjonowaniu U</w:t>
            </w:r>
            <w:r w:rsidR="00D12104" w:rsidRPr="009F62B3">
              <w:rPr>
                <w:rFonts w:ascii="Times New Roman" w:hAnsi="Times New Roman" w:cs="Times New Roman"/>
                <w:color w:val="000000"/>
                <w:lang w:bidi="pl-PL"/>
              </w:rPr>
              <w:t>E</w:t>
            </w:r>
            <w:r w:rsidRPr="009F62B3">
              <w:rPr>
                <w:rFonts w:ascii="Times New Roman" w:hAnsi="Times New Roman" w:cs="Times New Roman"/>
                <w:color w:val="000000"/>
                <w:lang w:bidi="pl-PL"/>
              </w:rPr>
              <w:t>)</w:t>
            </w:r>
          </w:p>
        </w:tc>
        <w:tc>
          <w:tcPr>
            <w:tcW w:w="5128" w:type="dxa"/>
            <w:tcBorders>
              <w:bottom w:val="single" w:sz="4" w:space="0" w:color="auto"/>
            </w:tcBorders>
            <w:shd w:val="clear" w:color="auto" w:fill="auto"/>
          </w:tcPr>
          <w:p w14:paraId="16343607" w14:textId="23C5E883" w:rsidR="002B55D8" w:rsidRDefault="008F7080" w:rsidP="00BD215D">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t>
            </w:r>
            <w:r w:rsidR="002B55D8">
              <w:rPr>
                <w:rFonts w:ascii="Times New Roman" w:eastAsia="Times New Roman" w:hAnsi="Times New Roman" w:cs="Times New Roman"/>
                <w:lang w:eastAsia="pl-PL"/>
              </w:rPr>
              <w:t>zgodniono</w:t>
            </w:r>
            <w:r>
              <w:rPr>
                <w:rFonts w:ascii="Times New Roman" w:eastAsia="Times New Roman" w:hAnsi="Times New Roman" w:cs="Times New Roman"/>
                <w:lang w:eastAsia="pl-PL"/>
              </w:rPr>
              <w:t xml:space="preserve"> – w tym wskazano na potrzebę korekty w zakresie użytego w projekcie pojęcia „modyfikacji” i „przedłużenia terminu przechowywania”</w:t>
            </w:r>
          </w:p>
          <w:p w14:paraId="168D2B6F" w14:textId="6AA0CA76" w:rsidR="00C70398" w:rsidRDefault="002B55D8" w:rsidP="00BD215D">
            <w:pPr>
              <w:spacing w:after="0" w:line="276" w:lineRule="auto"/>
              <w:jc w:val="both"/>
              <w:rPr>
                <w:rFonts w:ascii="Times New Roman" w:eastAsia="Times New Roman" w:hAnsi="Times New Roman" w:cs="Arial"/>
                <w:lang w:eastAsia="pl-PL"/>
              </w:rPr>
            </w:pPr>
            <w:r>
              <w:rPr>
                <w:rFonts w:ascii="Times New Roman" w:eastAsia="Times New Roman" w:hAnsi="Times New Roman" w:cs="Times New Roman"/>
                <w:lang w:eastAsia="pl-PL"/>
              </w:rPr>
              <w:t>uwagę u</w:t>
            </w:r>
            <w:r w:rsidR="002770B5">
              <w:rPr>
                <w:rFonts w:ascii="Times New Roman" w:eastAsia="Times New Roman" w:hAnsi="Times New Roman" w:cs="Times New Roman"/>
                <w:lang w:eastAsia="pl-PL"/>
              </w:rPr>
              <w:t>względniono</w:t>
            </w:r>
            <w:r w:rsidR="002609E9" w:rsidRPr="00C2454A">
              <w:rPr>
                <w:rFonts w:ascii="Times New Roman" w:eastAsia="Times New Roman" w:hAnsi="Times New Roman" w:cs="Times New Roman"/>
                <w:lang w:eastAsia="pl-PL"/>
              </w:rPr>
              <w:t xml:space="preserve"> </w:t>
            </w:r>
            <w:r w:rsidR="002770B5">
              <w:rPr>
                <w:rFonts w:ascii="Times New Roman" w:eastAsia="Times New Roman" w:hAnsi="Times New Roman" w:cs="Times New Roman"/>
                <w:lang w:eastAsia="pl-PL"/>
              </w:rPr>
              <w:t>– pkt 1</w:t>
            </w:r>
            <w:r w:rsidR="002609E9" w:rsidRPr="00C2454A">
              <w:rPr>
                <w:rFonts w:ascii="Times New Roman" w:eastAsia="Times New Roman" w:hAnsi="Times New Roman" w:cs="Times New Roman"/>
                <w:lang w:eastAsia="pl-PL"/>
              </w:rPr>
              <w:t xml:space="preserve">-4 </w:t>
            </w:r>
            <w:r w:rsidR="002770B5">
              <w:rPr>
                <w:rFonts w:ascii="Times New Roman" w:eastAsia="Times New Roman" w:hAnsi="Times New Roman" w:cs="Times New Roman"/>
                <w:lang w:eastAsia="pl-PL"/>
              </w:rPr>
              <w:t xml:space="preserve">ust. 3 art. 3 wykreślono; ust. 3 zredagowano </w:t>
            </w:r>
            <w:r w:rsidR="002770B5" w:rsidRPr="00BD215D">
              <w:rPr>
                <w:rFonts w:ascii="Times New Roman" w:eastAsia="Times New Roman" w:hAnsi="Times New Roman" w:cs="Times New Roman"/>
                <w:lang w:eastAsia="pl-PL"/>
              </w:rPr>
              <w:t>przez</w:t>
            </w:r>
            <w:r w:rsidR="002609E9" w:rsidRPr="00BD215D">
              <w:rPr>
                <w:rFonts w:ascii="Times New Roman" w:eastAsia="Times New Roman" w:hAnsi="Times New Roman" w:cs="Times New Roman"/>
                <w:lang w:eastAsia="pl-PL"/>
              </w:rPr>
              <w:t xml:space="preserve"> umieszcz</w:t>
            </w:r>
            <w:r w:rsidR="002770B5" w:rsidRPr="00BD215D">
              <w:rPr>
                <w:rFonts w:ascii="Times New Roman" w:eastAsia="Times New Roman" w:hAnsi="Times New Roman" w:cs="Times New Roman"/>
                <w:lang w:eastAsia="pl-PL"/>
              </w:rPr>
              <w:t xml:space="preserve">enie odesłania do art. </w:t>
            </w:r>
            <w:r w:rsidR="00BD215D" w:rsidRPr="00BD215D">
              <w:rPr>
                <w:rFonts w:ascii="Times New Roman" w:eastAsia="Times New Roman" w:hAnsi="Times New Roman" w:cs="Arial"/>
                <w:lang w:eastAsia="pl-PL"/>
              </w:rPr>
              <w:t xml:space="preserve">39-40 i art. 44 rozporządzenia 2018/1861 oraz art. 53-55 i art. 59 </w:t>
            </w:r>
            <w:r w:rsidR="00C70398">
              <w:rPr>
                <w:rFonts w:ascii="Times New Roman" w:eastAsia="Times New Roman" w:hAnsi="Times New Roman" w:cs="Arial"/>
                <w:lang w:eastAsia="pl-PL"/>
              </w:rPr>
              <w:t>rozporządzenia 2018/1862</w:t>
            </w:r>
            <w:r>
              <w:rPr>
                <w:rFonts w:ascii="Times New Roman" w:eastAsia="Times New Roman" w:hAnsi="Times New Roman" w:cs="Arial"/>
                <w:lang w:eastAsia="pl-PL"/>
              </w:rPr>
              <w:t xml:space="preserve">; </w:t>
            </w:r>
            <w:r w:rsidR="00C70398">
              <w:rPr>
                <w:rFonts w:ascii="Times New Roman" w:eastAsia="Times New Roman" w:hAnsi="Times New Roman" w:cs="Arial"/>
                <w:lang w:eastAsia="pl-PL"/>
              </w:rPr>
              <w:t>dokonano korekty uzasadnienia projektu</w:t>
            </w:r>
          </w:p>
          <w:p w14:paraId="7D7869A8" w14:textId="77777777" w:rsidR="008F7080" w:rsidRDefault="008F7080" w:rsidP="00BD215D">
            <w:pPr>
              <w:spacing w:after="0" w:line="276" w:lineRule="auto"/>
              <w:jc w:val="both"/>
              <w:rPr>
                <w:rFonts w:ascii="Times New Roman" w:eastAsia="Times New Roman" w:hAnsi="Times New Roman" w:cs="Arial"/>
                <w:lang w:eastAsia="pl-PL"/>
              </w:rPr>
            </w:pPr>
          </w:p>
          <w:p w14:paraId="50FE3FB3" w14:textId="1B3BD1F8" w:rsidR="00BD215D" w:rsidRPr="00C2454A" w:rsidRDefault="00BD215D" w:rsidP="00800B61">
            <w:pPr>
              <w:spacing w:after="0" w:line="276" w:lineRule="auto"/>
              <w:jc w:val="both"/>
              <w:rPr>
                <w:rFonts w:ascii="Times New Roman" w:eastAsia="Times New Roman" w:hAnsi="Times New Roman" w:cs="Times New Roman"/>
                <w:lang w:eastAsia="pl-PL"/>
              </w:rPr>
            </w:pPr>
          </w:p>
        </w:tc>
      </w:tr>
      <w:tr w:rsidR="00E86B50" w:rsidRPr="00C2454A" w14:paraId="63FD3EA5" w14:textId="77777777" w:rsidTr="009F62B3">
        <w:tc>
          <w:tcPr>
            <w:tcW w:w="562" w:type="dxa"/>
            <w:tcBorders>
              <w:bottom w:val="single" w:sz="4" w:space="0" w:color="auto"/>
            </w:tcBorders>
            <w:shd w:val="clear" w:color="auto" w:fill="auto"/>
            <w:vAlign w:val="center"/>
          </w:tcPr>
          <w:p w14:paraId="44AEA538" w14:textId="6C096429" w:rsidR="00E86B50" w:rsidRPr="00C2454A" w:rsidRDefault="00E86B50"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4" w:space="0" w:color="auto"/>
            </w:tcBorders>
            <w:shd w:val="clear" w:color="auto" w:fill="auto"/>
            <w:vAlign w:val="center"/>
          </w:tcPr>
          <w:p w14:paraId="7B0521EB" w14:textId="4A5DCFDD" w:rsidR="00E86B50" w:rsidRPr="00C2454A" w:rsidRDefault="00E86B50" w:rsidP="005F2CC4">
            <w:pPr>
              <w:spacing w:line="276" w:lineRule="auto"/>
              <w:jc w:val="center"/>
              <w:rPr>
                <w:rFonts w:ascii="Times New Roman" w:hAnsi="Times New Roman" w:cs="Times New Roman"/>
              </w:rPr>
            </w:pPr>
            <w:r w:rsidRPr="00C2454A">
              <w:rPr>
                <w:rFonts w:ascii="Times New Roman" w:hAnsi="Times New Roman" w:cs="Times New Roman"/>
              </w:rPr>
              <w:t>DPUE</w:t>
            </w:r>
          </w:p>
        </w:tc>
        <w:tc>
          <w:tcPr>
            <w:tcW w:w="1394" w:type="dxa"/>
            <w:tcBorders>
              <w:bottom w:val="single" w:sz="4" w:space="0" w:color="auto"/>
            </w:tcBorders>
            <w:shd w:val="clear" w:color="auto" w:fill="auto"/>
            <w:vAlign w:val="center"/>
          </w:tcPr>
          <w:p w14:paraId="0EF326A4" w14:textId="41CF7BAB" w:rsidR="00E86B50" w:rsidRPr="00C2454A" w:rsidRDefault="00E86B50" w:rsidP="00C019E3">
            <w:pPr>
              <w:spacing w:after="0" w:line="276" w:lineRule="auto"/>
              <w:jc w:val="both"/>
              <w:rPr>
                <w:rFonts w:ascii="Times New Roman" w:eastAsia="Times New Roman" w:hAnsi="Times New Roman" w:cs="Times New Roman"/>
                <w:lang w:eastAsia="pl-PL"/>
              </w:rPr>
            </w:pPr>
            <w:r w:rsidRPr="00C2454A">
              <w:rPr>
                <w:rFonts w:ascii="Times New Roman" w:hAnsi="Times New Roman" w:cs="Times New Roman"/>
                <w:bCs/>
              </w:rPr>
              <w:t>art. 4 ust. 1 pkt 1</w:t>
            </w:r>
            <w:r w:rsidRPr="00C2454A">
              <w:rPr>
                <w:rFonts w:ascii="Times New Roman" w:hAnsi="Times New Roman" w:cs="Times New Roman"/>
              </w:rPr>
              <w:t>–</w:t>
            </w:r>
            <w:r w:rsidRPr="00C2454A">
              <w:rPr>
                <w:rFonts w:ascii="Times New Roman" w:hAnsi="Times New Roman" w:cs="Times New Roman"/>
                <w:bCs/>
              </w:rPr>
              <w:t>11</w:t>
            </w:r>
          </w:p>
        </w:tc>
        <w:tc>
          <w:tcPr>
            <w:tcW w:w="6897" w:type="dxa"/>
            <w:tcBorders>
              <w:bottom w:val="single" w:sz="4" w:space="0" w:color="auto"/>
            </w:tcBorders>
            <w:shd w:val="clear" w:color="auto" w:fill="auto"/>
          </w:tcPr>
          <w:p w14:paraId="788A76A1" w14:textId="592CA360" w:rsidR="008E6060" w:rsidRPr="009F62B3" w:rsidRDefault="008E6060" w:rsidP="008E6060">
            <w:pPr>
              <w:widowControl w:val="0"/>
              <w:autoSpaceDE w:val="0"/>
              <w:autoSpaceDN w:val="0"/>
              <w:adjustRightInd w:val="0"/>
              <w:spacing w:line="276" w:lineRule="auto"/>
              <w:jc w:val="both"/>
              <w:rPr>
                <w:rFonts w:ascii="Times New Roman" w:hAnsi="Times New Roman" w:cs="Times New Roman"/>
              </w:rPr>
            </w:pPr>
            <w:r w:rsidRPr="00457A01">
              <w:rPr>
                <w:rFonts w:ascii="Times New Roman" w:hAnsi="Times New Roman" w:cs="Times New Roman"/>
              </w:rPr>
              <w:t xml:space="preserve">rozważyć zmianę, by </w:t>
            </w:r>
            <w:r w:rsidRPr="00457A01">
              <w:rPr>
                <w:rFonts w:ascii="Times New Roman" w:hAnsi="Times New Roman" w:cs="Times New Roman"/>
                <w:lang w:bidi="pl-PL"/>
              </w:rPr>
              <w:t>prawo do dostępu do danych w SIS oraz prawo do bezpośredniego wyszukiwania takich danych do celów rozpatrywania wniosków o naturalizację było ograniczone do danych adekwatnych, stosownych oraz ograniczonych do tego co niezbędne – ewentualnie wykazać powody tak szerokiego zakresu dostępu do danych</w:t>
            </w:r>
            <w:r w:rsidRPr="00457A01">
              <w:rPr>
                <w:rFonts w:ascii="Times New Roman" w:hAnsi="Times New Roman" w:cs="Times New Roman"/>
              </w:rPr>
              <w:t xml:space="preserve"> w związku z prowadzeniem postępowań</w:t>
            </w:r>
            <w:r w:rsidRPr="009F62B3">
              <w:rPr>
                <w:rFonts w:ascii="Times New Roman" w:hAnsi="Times New Roman" w:cs="Times New Roman"/>
              </w:rPr>
              <w:t>, o których mowa w ustawie o obywatelstwie polskim</w:t>
            </w:r>
          </w:p>
          <w:p w14:paraId="6D615F2D" w14:textId="711C5589" w:rsidR="002609E9" w:rsidRPr="009F62B3" w:rsidRDefault="00424E30" w:rsidP="008E6060">
            <w:pPr>
              <w:widowControl w:val="0"/>
              <w:autoSpaceDE w:val="0"/>
              <w:autoSpaceDN w:val="0"/>
              <w:adjustRightInd w:val="0"/>
              <w:spacing w:line="276" w:lineRule="auto"/>
              <w:jc w:val="both"/>
              <w:rPr>
                <w:rFonts w:ascii="Times New Roman" w:eastAsia="Times New Roman" w:hAnsi="Times New Roman" w:cs="Times New Roman"/>
              </w:rPr>
            </w:pPr>
            <w:r w:rsidRPr="009F62B3">
              <w:rPr>
                <w:rFonts w:ascii="Times New Roman" w:eastAsia="Times New Roman" w:hAnsi="Times New Roman" w:cs="Times New Roman"/>
              </w:rPr>
              <w:t xml:space="preserve">U: </w:t>
            </w:r>
            <w:r w:rsidR="00461670" w:rsidRPr="009F62B3">
              <w:rPr>
                <w:rFonts w:ascii="Times New Roman" w:eastAsia="Times New Roman" w:hAnsi="Times New Roman" w:cs="Times New Roman"/>
              </w:rPr>
              <w:t xml:space="preserve">1/ </w:t>
            </w:r>
            <w:r w:rsidR="002609E9" w:rsidRPr="009F62B3">
              <w:rPr>
                <w:rFonts w:ascii="Times New Roman" w:eastAsia="Times New Roman" w:hAnsi="Times New Roman" w:cs="Times New Roman"/>
              </w:rPr>
              <w:t xml:space="preserve">wg uzasadnienia </w:t>
            </w:r>
            <w:r w:rsidR="002609E9" w:rsidRPr="009F62B3">
              <w:rPr>
                <w:rFonts w:ascii="Times New Roman" w:hAnsi="Times New Roman" w:cs="Times New Roman"/>
                <w:bCs/>
              </w:rPr>
              <w:t xml:space="preserve">rozwiązanie wynika z treści art. 34 ust. 2 rozporządzenia 2018/1861 oraz art. 44 ust. 2 rozporządzenia 2018/1862 wskazujących, że prawo do dostępu do danych w SIS oraz prawo do </w:t>
            </w:r>
            <w:r w:rsidR="002609E9" w:rsidRPr="009F62B3">
              <w:rPr>
                <w:rFonts w:ascii="Times New Roman" w:hAnsi="Times New Roman" w:cs="Times New Roman"/>
                <w:bCs/>
              </w:rPr>
              <w:lastRenderedPageBreak/>
              <w:t>bezpośredniego wyszukiwania takich danych może być wykonywane przez właściwe organy krajowe odpowiedzialne za naturalizację, określone w prawie krajowym, do celów rozpatrywania wniosków o naturalizację-zatem dostęp do wszelkich rejestrów zawierających informacje o cudzoziemcach w kontekście oceny zagrożenia dla bezpieczeństwa państwa lub porządku publicznego, ponieważ w przypadku istnienia zagrożenia, organy te są zobowiązane do wydania decyzji negatywnej na podstawie przepisów ustawy z dnia 2 kwietnia 2009 r. o obywatelstwie polskim</w:t>
            </w:r>
            <w:r w:rsidR="007355BC" w:rsidRPr="009F62B3">
              <w:rPr>
                <w:rFonts w:ascii="Times New Roman" w:hAnsi="Times New Roman" w:cs="Times New Roman"/>
                <w:bCs/>
              </w:rPr>
              <w:t>;</w:t>
            </w:r>
          </w:p>
          <w:p w14:paraId="144C0307" w14:textId="3DD444DF" w:rsidR="00461670" w:rsidRPr="009F62B3" w:rsidRDefault="002609E9" w:rsidP="008E6060">
            <w:pPr>
              <w:widowControl w:val="0"/>
              <w:autoSpaceDE w:val="0"/>
              <w:autoSpaceDN w:val="0"/>
              <w:adjustRightInd w:val="0"/>
              <w:spacing w:line="276" w:lineRule="auto"/>
              <w:jc w:val="both"/>
              <w:rPr>
                <w:rFonts w:ascii="Times New Roman" w:hAnsi="Times New Roman" w:cs="Times New Roman"/>
              </w:rPr>
            </w:pPr>
            <w:r w:rsidRPr="009F62B3">
              <w:rPr>
                <w:rFonts w:ascii="Times New Roman" w:eastAsia="Times New Roman" w:hAnsi="Times New Roman" w:cs="Times New Roman"/>
              </w:rPr>
              <w:t>2/</w:t>
            </w:r>
            <w:r w:rsidR="003D1B70" w:rsidRPr="009F62B3">
              <w:rPr>
                <w:rFonts w:ascii="Times New Roman" w:eastAsia="Times New Roman" w:hAnsi="Times New Roman" w:cs="Times New Roman"/>
              </w:rPr>
              <w:t xml:space="preserve"> </w:t>
            </w:r>
            <w:r w:rsidR="008E6060" w:rsidRPr="009F62B3">
              <w:rPr>
                <w:rFonts w:ascii="Times New Roman" w:eastAsia="Times New Roman" w:hAnsi="Times New Roman" w:cs="Times New Roman"/>
              </w:rPr>
              <w:t>wątpliwości co do zbyt szerokiego zakresu nadania uprawnień do wglądu do danych dla wojewody oraz ministra właściwego do spraw wewnętrznych-</w:t>
            </w:r>
            <w:r w:rsidR="00424E30" w:rsidRPr="009F62B3">
              <w:rPr>
                <w:rFonts w:ascii="Times New Roman" w:eastAsia="Times New Roman" w:hAnsi="Times New Roman" w:cs="Times New Roman"/>
              </w:rPr>
              <w:t xml:space="preserve">uzyskane uprawnienie dot. </w:t>
            </w:r>
            <w:r w:rsidR="00461670" w:rsidRPr="009F62B3">
              <w:rPr>
                <w:rFonts w:ascii="Times New Roman" w:eastAsia="Times New Roman" w:hAnsi="Times New Roman" w:cs="Times New Roman"/>
              </w:rPr>
              <w:t xml:space="preserve">wpisów odnoszących się </w:t>
            </w:r>
            <w:r w:rsidR="00424E30" w:rsidRPr="009F62B3">
              <w:rPr>
                <w:rFonts w:ascii="Times New Roman" w:hAnsi="Times New Roman" w:cs="Times New Roman"/>
              </w:rPr>
              <w:t xml:space="preserve">nie tylko </w:t>
            </w:r>
            <w:r w:rsidR="00461670" w:rsidRPr="009F62B3">
              <w:rPr>
                <w:rFonts w:ascii="Times New Roman" w:hAnsi="Times New Roman" w:cs="Times New Roman"/>
              </w:rPr>
              <w:t xml:space="preserve">do </w:t>
            </w:r>
            <w:r w:rsidR="00424E30" w:rsidRPr="009F62B3">
              <w:rPr>
                <w:rFonts w:ascii="Times New Roman" w:hAnsi="Times New Roman" w:cs="Times New Roman"/>
              </w:rPr>
              <w:t>cudzoziemców, których dane zostały wpisane do SIS dla celów odmowy wjazdu lub wobec których została wydana decyzja o zobowiązaniu do powrotu, ale</w:t>
            </w:r>
            <w:r w:rsidR="00424E30" w:rsidRPr="009F62B3">
              <w:rPr>
                <w:rFonts w:ascii="Times New Roman" w:eastAsiaTheme="minorEastAsia" w:hAnsi="Times New Roman" w:cs="Times New Roman"/>
              </w:rPr>
              <w:t xml:space="preserve"> także np. danych dotyczących świadków, </w:t>
            </w:r>
            <w:r w:rsidR="00424E30" w:rsidRPr="009F62B3">
              <w:rPr>
                <w:rFonts w:ascii="Times New Roman" w:hAnsi="Times New Roman" w:cs="Times New Roman"/>
              </w:rPr>
              <w:t>osób zaginionych albo osób zaginionych, które dla ich ochrony lub w celu zapobiegania stwarzanym przez nie zagrożeniom powinny zostać umieszczone we właściwej placówce opiekuńczej lub leczniczej; dzieci, którym należy uniemożliwić podróżowanie czy też osób narażonych na niebezpieczeństwo, które są pełnoletnie i którym dla ich własnej ochrony należy uniemożliwić podróżowanie, ze względu na konkretne i realne zagrożenie, że zostaną wywiezione z terytorium państwa członkowskiego lub opuszczą to terytorium i że staną się ofiarami handlu ludźmi l</w:t>
            </w:r>
            <w:r w:rsidR="00461670" w:rsidRPr="009F62B3">
              <w:rPr>
                <w:rFonts w:ascii="Times New Roman" w:hAnsi="Times New Roman" w:cs="Times New Roman"/>
              </w:rPr>
              <w:t>ub przemocy warunkowanej płcią;</w:t>
            </w:r>
          </w:p>
          <w:p w14:paraId="211E1535" w14:textId="5C5DC775" w:rsidR="00424E30" w:rsidRPr="009F62B3" w:rsidRDefault="002609E9" w:rsidP="00145AA6">
            <w:pPr>
              <w:widowControl w:val="0"/>
              <w:autoSpaceDE w:val="0"/>
              <w:autoSpaceDN w:val="0"/>
              <w:adjustRightInd w:val="0"/>
              <w:spacing w:line="276" w:lineRule="auto"/>
              <w:jc w:val="both"/>
              <w:rPr>
                <w:rFonts w:ascii="Times New Roman" w:hAnsi="Times New Roman" w:cs="Times New Roman"/>
              </w:rPr>
            </w:pPr>
            <w:r w:rsidRPr="009F62B3">
              <w:rPr>
                <w:rFonts w:ascii="Times New Roman" w:hAnsi="Times New Roman" w:cs="Times New Roman"/>
              </w:rPr>
              <w:t>3</w:t>
            </w:r>
            <w:r w:rsidR="00461670" w:rsidRPr="009F62B3">
              <w:rPr>
                <w:rFonts w:ascii="Times New Roman" w:hAnsi="Times New Roman" w:cs="Times New Roman"/>
              </w:rPr>
              <w:t xml:space="preserve">/ wątpliwe, </w:t>
            </w:r>
            <w:r w:rsidR="00424E30" w:rsidRPr="009F62B3">
              <w:rPr>
                <w:rFonts w:ascii="Times New Roman" w:hAnsi="Times New Roman" w:cs="Times New Roman"/>
              </w:rPr>
              <w:t xml:space="preserve">czy </w:t>
            </w:r>
            <w:r w:rsidR="00461670" w:rsidRPr="009F62B3">
              <w:rPr>
                <w:rFonts w:ascii="Times New Roman" w:hAnsi="Times New Roman" w:cs="Times New Roman"/>
              </w:rPr>
              <w:t xml:space="preserve">ww. </w:t>
            </w:r>
            <w:r w:rsidR="00424E30" w:rsidRPr="009F62B3">
              <w:rPr>
                <w:rFonts w:ascii="Times New Roman" w:hAnsi="Times New Roman" w:cs="Times New Roman"/>
              </w:rPr>
              <w:t>dostęp jest niezbędny dla wskazanego celu, tj. dla oceny ewentualnego zagrożenia dla obronności lub bezpieczeństwa państwa albo porządku publicznego ze strony cudzoziemca ub</w:t>
            </w:r>
            <w:r w:rsidR="00145AA6" w:rsidRPr="009F62B3">
              <w:rPr>
                <w:rFonts w:ascii="Times New Roman" w:hAnsi="Times New Roman" w:cs="Times New Roman"/>
              </w:rPr>
              <w:t>iegającego się o naturalizację – skoro ww. przetwarzanie następuje zgodne z zasadą, że dane osobowe muszą być adekwatne, stosowne oraz ograniczone do tego, co niezbędne do celów, w których są przetwarzane („minimalizacja danych”)</w:t>
            </w:r>
          </w:p>
        </w:tc>
        <w:tc>
          <w:tcPr>
            <w:tcW w:w="5128" w:type="dxa"/>
            <w:tcBorders>
              <w:bottom w:val="single" w:sz="4" w:space="0" w:color="auto"/>
            </w:tcBorders>
            <w:shd w:val="clear" w:color="auto" w:fill="auto"/>
          </w:tcPr>
          <w:p w14:paraId="0C7B95F1" w14:textId="1528894F" w:rsidR="003370FB" w:rsidRDefault="003370FB" w:rsidP="003463E1">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1A204B80" w14:textId="55536BA7" w:rsidR="00366A6F" w:rsidRPr="00C2454A" w:rsidRDefault="003370FB" w:rsidP="006E3DC1">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B46E8D">
              <w:rPr>
                <w:rFonts w:ascii="Times New Roman" w:eastAsia="Times New Roman" w:hAnsi="Times New Roman" w:cs="Times New Roman"/>
                <w:lang w:eastAsia="pl-PL"/>
              </w:rPr>
              <w:t>uwzględniono</w:t>
            </w:r>
            <w:r>
              <w:rPr>
                <w:rFonts w:ascii="Times New Roman" w:eastAsia="Times New Roman" w:hAnsi="Times New Roman" w:cs="Times New Roman"/>
                <w:lang w:eastAsia="pl-PL"/>
              </w:rPr>
              <w:t xml:space="preserve"> </w:t>
            </w:r>
            <w:r w:rsidR="00B46E8D">
              <w:rPr>
                <w:rFonts w:ascii="Times New Roman" w:eastAsia="Times New Roman" w:hAnsi="Times New Roman" w:cs="Times New Roman"/>
                <w:lang w:eastAsia="pl-PL"/>
              </w:rPr>
              <w:t>(</w:t>
            </w:r>
            <w:r w:rsidR="00800B61">
              <w:rPr>
                <w:rFonts w:ascii="Times New Roman" w:eastAsia="Times New Roman" w:hAnsi="Times New Roman" w:cs="Times New Roman"/>
                <w:lang w:eastAsia="pl-PL"/>
              </w:rPr>
              <w:t xml:space="preserve">rozpoznając łącznie </w:t>
            </w:r>
            <w:r w:rsidR="00800B61" w:rsidRPr="00800B61">
              <w:rPr>
                <w:rFonts w:ascii="Times New Roman" w:eastAsia="Times New Roman" w:hAnsi="Times New Roman" w:cs="Times New Roman"/>
                <w:lang w:eastAsia="pl-PL"/>
              </w:rPr>
              <w:t>z uwagą</w:t>
            </w:r>
            <w:r w:rsidR="003D2B5B" w:rsidRPr="00800B61">
              <w:rPr>
                <w:rFonts w:ascii="Times New Roman" w:eastAsia="Times New Roman" w:hAnsi="Times New Roman" w:cs="Times New Roman"/>
                <w:lang w:eastAsia="pl-PL"/>
              </w:rPr>
              <w:t xml:space="preserve"> MS nr 45</w:t>
            </w:r>
            <w:r w:rsidR="00B46E8D" w:rsidRPr="00800B61">
              <w:rPr>
                <w:rFonts w:ascii="Times New Roman" w:eastAsia="Times New Roman" w:hAnsi="Times New Roman" w:cs="Times New Roman"/>
                <w:lang w:eastAsia="pl-PL"/>
              </w:rPr>
              <w:t xml:space="preserve"> </w:t>
            </w:r>
            <w:r w:rsidR="003D2B5B" w:rsidRPr="00800B61">
              <w:rPr>
                <w:rFonts w:ascii="Times New Roman" w:eastAsia="Times New Roman" w:hAnsi="Times New Roman" w:cs="Times New Roman"/>
                <w:lang w:eastAsia="pl-PL"/>
              </w:rPr>
              <w:t>dot</w:t>
            </w:r>
            <w:r w:rsidR="003D2B5B">
              <w:rPr>
                <w:rFonts w:ascii="Times New Roman" w:eastAsia="Times New Roman" w:hAnsi="Times New Roman" w:cs="Times New Roman"/>
                <w:lang w:eastAsia="pl-PL"/>
              </w:rPr>
              <w:t>.</w:t>
            </w:r>
            <w:r w:rsidR="00BF7D51">
              <w:rPr>
                <w:rFonts w:ascii="Times New Roman" w:eastAsia="Times New Roman" w:hAnsi="Times New Roman" w:cs="Times New Roman"/>
                <w:lang w:eastAsia="pl-PL"/>
              </w:rPr>
              <w:t xml:space="preserve"> wskazania motywów uprawnień w uzasadnieniu projektu</w:t>
            </w:r>
            <w:r w:rsidR="003D2B5B">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B46E8D">
              <w:rPr>
                <w:rFonts w:ascii="Times New Roman" w:eastAsia="Times New Roman" w:hAnsi="Times New Roman" w:cs="Times New Roman"/>
                <w:lang w:eastAsia="pl-PL"/>
              </w:rPr>
              <w:t xml:space="preserve">- </w:t>
            </w:r>
            <w:r w:rsidR="00EB27CC">
              <w:rPr>
                <w:rFonts w:ascii="Times New Roman" w:eastAsia="Times New Roman" w:hAnsi="Times New Roman" w:cs="Times New Roman"/>
                <w:lang w:eastAsia="pl-PL"/>
              </w:rPr>
              <w:t>ogranicz</w:t>
            </w:r>
            <w:r w:rsidR="00B46E8D">
              <w:rPr>
                <w:rFonts w:ascii="Times New Roman" w:eastAsia="Times New Roman" w:hAnsi="Times New Roman" w:cs="Times New Roman"/>
                <w:lang w:eastAsia="pl-PL"/>
              </w:rPr>
              <w:t>ono uprawnienia</w:t>
            </w:r>
            <w:r w:rsidR="00800B61">
              <w:rPr>
                <w:rFonts w:ascii="Times New Roman" w:eastAsia="Times New Roman" w:hAnsi="Times New Roman" w:cs="Times New Roman"/>
                <w:lang w:eastAsia="pl-PL"/>
              </w:rPr>
              <w:t xml:space="preserve"> ww. organów </w:t>
            </w:r>
            <w:r w:rsidR="003D1B70">
              <w:rPr>
                <w:rFonts w:ascii="Times New Roman" w:eastAsia="Times New Roman" w:hAnsi="Times New Roman" w:cs="Times New Roman"/>
                <w:lang w:eastAsia="pl-PL"/>
              </w:rPr>
              <w:t>–</w:t>
            </w:r>
            <w:r w:rsidR="00B46E8D">
              <w:rPr>
                <w:rFonts w:ascii="Times New Roman" w:eastAsia="Times New Roman" w:hAnsi="Times New Roman" w:cs="Times New Roman"/>
                <w:lang w:eastAsia="pl-PL"/>
              </w:rPr>
              <w:t xml:space="preserve"> </w:t>
            </w:r>
            <w:r w:rsidR="003D1B70">
              <w:rPr>
                <w:rFonts w:ascii="Times New Roman" w:eastAsia="Times New Roman" w:hAnsi="Times New Roman" w:cs="Times New Roman"/>
                <w:lang w:eastAsia="pl-PL"/>
              </w:rPr>
              <w:t xml:space="preserve">wykreślono w zakresie </w:t>
            </w:r>
            <w:r w:rsidR="00B46E8D">
              <w:rPr>
                <w:rFonts w:ascii="Times New Roman" w:eastAsia="Times New Roman" w:hAnsi="Times New Roman" w:cs="Times New Roman"/>
                <w:lang w:eastAsia="pl-PL"/>
              </w:rPr>
              <w:t>pkt 3 (wpis w celu ustalenia miejsca pobytu),</w:t>
            </w:r>
            <w:r w:rsidR="003D1B70">
              <w:rPr>
                <w:rFonts w:ascii="Times New Roman" w:eastAsia="Times New Roman" w:hAnsi="Times New Roman" w:cs="Times New Roman"/>
                <w:lang w:eastAsia="pl-PL"/>
              </w:rPr>
              <w:t xml:space="preserve"> pkt</w:t>
            </w:r>
            <w:r w:rsidR="00800B61">
              <w:rPr>
                <w:rFonts w:ascii="Times New Roman" w:eastAsia="Times New Roman" w:hAnsi="Times New Roman" w:cs="Times New Roman"/>
                <w:lang w:eastAsia="pl-PL"/>
              </w:rPr>
              <w:t xml:space="preserve"> 7-10 (wpisy tzw. prewencyjne</w:t>
            </w:r>
            <w:r w:rsidR="00B46E8D">
              <w:rPr>
                <w:rFonts w:ascii="Times New Roman" w:eastAsia="Times New Roman" w:hAnsi="Times New Roman" w:cs="Times New Roman"/>
                <w:lang w:eastAsia="pl-PL"/>
              </w:rPr>
              <w:t xml:space="preserve"> w celu uniemożli</w:t>
            </w:r>
            <w:r w:rsidR="006E3DC1">
              <w:rPr>
                <w:rFonts w:ascii="Times New Roman" w:eastAsia="Times New Roman" w:hAnsi="Times New Roman" w:cs="Times New Roman"/>
                <w:lang w:eastAsia="pl-PL"/>
              </w:rPr>
              <w:t xml:space="preserve">wienia podróżowania); </w:t>
            </w:r>
            <w:r w:rsidR="003D1B70">
              <w:rPr>
                <w:rFonts w:ascii="Times New Roman" w:eastAsia="Times New Roman" w:hAnsi="Times New Roman" w:cs="Times New Roman"/>
                <w:lang w:eastAsia="pl-PL"/>
              </w:rPr>
              <w:t>aktualnie przedmiotowe uprawnienie dot. pkt</w:t>
            </w:r>
            <w:r w:rsidR="00B46E8D">
              <w:rPr>
                <w:rFonts w:ascii="Times New Roman" w:eastAsia="Times New Roman" w:hAnsi="Times New Roman" w:cs="Times New Roman"/>
                <w:lang w:eastAsia="pl-PL"/>
              </w:rPr>
              <w:t xml:space="preserve"> 1 i 2 (</w:t>
            </w:r>
            <w:r w:rsidR="003D1B70">
              <w:rPr>
                <w:rFonts w:ascii="Times New Roman" w:eastAsia="Times New Roman" w:hAnsi="Times New Roman" w:cs="Times New Roman"/>
                <w:lang w:eastAsia="pl-PL"/>
              </w:rPr>
              <w:t>wpisy osób poszukiwanych</w:t>
            </w:r>
            <w:r w:rsidR="00B46E8D">
              <w:rPr>
                <w:rFonts w:ascii="Times New Roman" w:eastAsia="Times New Roman" w:hAnsi="Times New Roman" w:cs="Times New Roman"/>
                <w:lang w:eastAsia="pl-PL"/>
              </w:rPr>
              <w:t xml:space="preserve"> do zatrzymania), pkt 4-5 (</w:t>
            </w:r>
            <w:r w:rsidR="003D1B70">
              <w:rPr>
                <w:rFonts w:ascii="Times New Roman" w:eastAsia="Times New Roman" w:hAnsi="Times New Roman" w:cs="Times New Roman"/>
                <w:lang w:eastAsia="pl-PL"/>
              </w:rPr>
              <w:t>wpisy dot. cudzoziemców) oraz pkt</w:t>
            </w:r>
            <w:r w:rsidR="00B46E8D">
              <w:rPr>
                <w:rFonts w:ascii="Times New Roman" w:eastAsia="Times New Roman" w:hAnsi="Times New Roman" w:cs="Times New Roman"/>
                <w:lang w:eastAsia="pl-PL"/>
              </w:rPr>
              <w:t xml:space="preserve"> 6 (</w:t>
            </w:r>
            <w:r w:rsidR="003D1B70">
              <w:rPr>
                <w:rFonts w:ascii="Times New Roman" w:eastAsia="Times New Roman" w:hAnsi="Times New Roman" w:cs="Times New Roman"/>
                <w:lang w:eastAsia="pl-PL"/>
              </w:rPr>
              <w:t xml:space="preserve">wpisy dot. osób </w:t>
            </w:r>
            <w:r w:rsidR="003D1B70">
              <w:rPr>
                <w:rFonts w:ascii="Times New Roman" w:eastAsia="Times New Roman" w:hAnsi="Times New Roman" w:cs="Times New Roman"/>
                <w:lang w:eastAsia="pl-PL"/>
              </w:rPr>
              <w:lastRenderedPageBreak/>
              <w:t xml:space="preserve">zaginionych - </w:t>
            </w:r>
            <w:r w:rsidR="00B46E8D">
              <w:rPr>
                <w:rFonts w:ascii="Times New Roman" w:eastAsia="Times New Roman" w:hAnsi="Times New Roman" w:cs="Times New Roman"/>
                <w:lang w:eastAsia="pl-PL"/>
              </w:rPr>
              <w:t xml:space="preserve">z uwagi na </w:t>
            </w:r>
            <w:r w:rsidR="003D1B70">
              <w:rPr>
                <w:rFonts w:ascii="Times New Roman" w:eastAsia="Times New Roman" w:hAnsi="Times New Roman" w:cs="Times New Roman"/>
                <w:lang w:eastAsia="pl-PL"/>
              </w:rPr>
              <w:t xml:space="preserve">objęty tą kategorią wpis dokonywany także w przypadku </w:t>
            </w:r>
            <w:r w:rsidR="00B46E8D" w:rsidRPr="00DB0EBD">
              <w:rPr>
                <w:rFonts w:ascii="Times New Roman" w:eastAsia="Times New Roman" w:hAnsi="Times New Roman" w:cs="Times New Roman"/>
                <w:u w:val="single"/>
                <w:lang w:eastAsia="pl-PL"/>
              </w:rPr>
              <w:t>zagrożenia ze strony osoby zaginionej</w:t>
            </w:r>
            <w:r w:rsidR="00800B61">
              <w:rPr>
                <w:rFonts w:ascii="Times New Roman" w:eastAsia="Times New Roman" w:hAnsi="Times New Roman" w:cs="Times New Roman"/>
                <w:lang w:eastAsia="pl-PL"/>
              </w:rPr>
              <w:t>)</w:t>
            </w:r>
            <w:r w:rsidR="006E3DC1">
              <w:rPr>
                <w:rFonts w:ascii="Times New Roman" w:eastAsia="Times New Roman" w:hAnsi="Times New Roman" w:cs="Times New Roman"/>
                <w:lang w:eastAsia="pl-PL"/>
              </w:rPr>
              <w:t xml:space="preserve"> oraz pkt 11 (dot. kontroli niejawnej podyktowanej względami bezpieczeństwa);</w:t>
            </w:r>
            <w:r>
              <w:rPr>
                <w:rFonts w:ascii="Times New Roman" w:eastAsia="Times New Roman" w:hAnsi="Times New Roman" w:cs="Times New Roman"/>
                <w:lang w:eastAsia="pl-PL"/>
              </w:rPr>
              <w:t xml:space="preserve"> </w:t>
            </w:r>
            <w:r w:rsidR="003D1B70">
              <w:rPr>
                <w:rFonts w:ascii="Times New Roman" w:eastAsia="Times New Roman" w:hAnsi="Times New Roman" w:cs="Times New Roman"/>
                <w:lang w:eastAsia="pl-PL"/>
              </w:rPr>
              <w:t>dokonano korekty</w:t>
            </w:r>
            <w:r w:rsidR="00B46E8D">
              <w:rPr>
                <w:rFonts w:ascii="Times New Roman" w:eastAsia="Times New Roman" w:hAnsi="Times New Roman" w:cs="Times New Roman"/>
                <w:lang w:eastAsia="pl-PL"/>
              </w:rPr>
              <w:t xml:space="preserve"> uzasadnienia </w:t>
            </w:r>
            <w:r w:rsidR="003D1B70">
              <w:rPr>
                <w:rFonts w:ascii="Times New Roman" w:eastAsia="Times New Roman" w:hAnsi="Times New Roman" w:cs="Times New Roman"/>
                <w:lang w:eastAsia="pl-PL"/>
              </w:rPr>
              <w:t xml:space="preserve">projektu </w:t>
            </w:r>
            <w:r w:rsidR="00B46E8D">
              <w:rPr>
                <w:rFonts w:ascii="Times New Roman" w:eastAsia="Times New Roman" w:hAnsi="Times New Roman" w:cs="Times New Roman"/>
                <w:lang w:eastAsia="pl-PL"/>
              </w:rPr>
              <w:t xml:space="preserve">– </w:t>
            </w:r>
            <w:r w:rsidR="003D1B70">
              <w:rPr>
                <w:rFonts w:ascii="Times New Roman" w:eastAsia="Times New Roman" w:hAnsi="Times New Roman" w:cs="Times New Roman"/>
                <w:lang w:eastAsia="pl-PL"/>
              </w:rPr>
              <w:t xml:space="preserve">wskazując </w:t>
            </w:r>
            <w:r w:rsidR="00B46E8D">
              <w:rPr>
                <w:rFonts w:ascii="Times New Roman" w:eastAsia="Times New Roman" w:hAnsi="Times New Roman" w:cs="Times New Roman"/>
                <w:lang w:eastAsia="pl-PL"/>
              </w:rPr>
              <w:t xml:space="preserve">motywy </w:t>
            </w:r>
            <w:r w:rsidR="003D1B70">
              <w:rPr>
                <w:rFonts w:ascii="Times New Roman" w:eastAsia="Times New Roman" w:hAnsi="Times New Roman" w:cs="Times New Roman"/>
                <w:lang w:eastAsia="pl-PL"/>
              </w:rPr>
              <w:t>odnoszące się do</w:t>
            </w:r>
            <w:r w:rsidR="00B46E8D">
              <w:rPr>
                <w:rFonts w:ascii="Times New Roman" w:eastAsia="Times New Roman" w:hAnsi="Times New Roman" w:cs="Times New Roman"/>
                <w:lang w:eastAsia="pl-PL"/>
              </w:rPr>
              <w:t xml:space="preserve"> procedury naturalizacji </w:t>
            </w:r>
            <w:r w:rsidR="003463E1" w:rsidRPr="00C2454A">
              <w:rPr>
                <w:rFonts w:ascii="Times New Roman" w:eastAsia="Times New Roman" w:hAnsi="Times New Roman" w:cs="Times New Roman"/>
                <w:lang w:eastAsia="pl-PL"/>
              </w:rPr>
              <w:t>dot. uprawnień wojewody i</w:t>
            </w:r>
            <w:r w:rsidR="003D1B70">
              <w:rPr>
                <w:rFonts w:ascii="Times New Roman" w:eastAsia="Times New Roman" w:hAnsi="Times New Roman" w:cs="Times New Roman"/>
                <w:lang w:eastAsia="pl-PL"/>
              </w:rPr>
              <w:t xml:space="preserve"> ministra </w:t>
            </w:r>
            <w:proofErr w:type="spellStart"/>
            <w:r w:rsidR="003D1B70">
              <w:rPr>
                <w:rFonts w:ascii="Times New Roman" w:eastAsia="Times New Roman" w:hAnsi="Times New Roman" w:cs="Times New Roman"/>
                <w:lang w:eastAsia="pl-PL"/>
              </w:rPr>
              <w:t>SWi</w:t>
            </w:r>
            <w:r w:rsidR="00EB27CC">
              <w:rPr>
                <w:rFonts w:ascii="Times New Roman" w:eastAsia="Times New Roman" w:hAnsi="Times New Roman" w:cs="Times New Roman"/>
                <w:lang w:eastAsia="pl-PL"/>
              </w:rPr>
              <w:t>A</w:t>
            </w:r>
            <w:proofErr w:type="spellEnd"/>
            <w:r w:rsidR="00800B61">
              <w:rPr>
                <w:rFonts w:ascii="Times New Roman" w:eastAsia="Times New Roman" w:hAnsi="Times New Roman" w:cs="Times New Roman"/>
                <w:lang w:eastAsia="pl-PL"/>
              </w:rPr>
              <w:t xml:space="preserve"> </w:t>
            </w:r>
            <w:r w:rsidR="00175436">
              <w:rPr>
                <w:rFonts w:ascii="Times New Roman" w:eastAsia="Times New Roman" w:hAnsi="Times New Roman" w:cs="Times New Roman"/>
                <w:lang w:eastAsia="pl-PL"/>
              </w:rPr>
              <w:t xml:space="preserve">- </w:t>
            </w:r>
            <w:r w:rsidR="00800B61">
              <w:rPr>
                <w:rFonts w:ascii="Times New Roman" w:eastAsia="Times New Roman" w:hAnsi="Times New Roman" w:cs="Times New Roman"/>
                <w:lang w:eastAsia="pl-PL"/>
              </w:rPr>
              <w:t xml:space="preserve">i </w:t>
            </w:r>
            <w:r w:rsidR="00B519E9">
              <w:rPr>
                <w:rFonts w:ascii="Times New Roman" w:eastAsia="Times New Roman" w:hAnsi="Times New Roman" w:cs="Times New Roman"/>
                <w:lang w:eastAsia="pl-PL"/>
              </w:rPr>
              <w:t>korekty</w:t>
            </w:r>
            <w:r w:rsidR="00366A6F">
              <w:rPr>
                <w:rFonts w:ascii="Times New Roman" w:eastAsia="Times New Roman" w:hAnsi="Times New Roman" w:cs="Times New Roman"/>
                <w:lang w:eastAsia="pl-PL"/>
              </w:rPr>
              <w:t xml:space="preserve"> OSR</w:t>
            </w:r>
          </w:p>
        </w:tc>
      </w:tr>
      <w:tr w:rsidR="00345F2B" w:rsidRPr="00C2454A" w14:paraId="671D01F0" w14:textId="77777777" w:rsidTr="000454BA">
        <w:tc>
          <w:tcPr>
            <w:tcW w:w="562" w:type="dxa"/>
            <w:tcBorders>
              <w:bottom w:val="single" w:sz="4" w:space="0" w:color="auto"/>
            </w:tcBorders>
            <w:shd w:val="clear" w:color="auto" w:fill="auto"/>
            <w:vAlign w:val="center"/>
          </w:tcPr>
          <w:p w14:paraId="6CAF5EE1" w14:textId="7C33F76B" w:rsidR="00345F2B" w:rsidRPr="000454BA" w:rsidRDefault="00345F2B"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4" w:space="0" w:color="auto"/>
            </w:tcBorders>
            <w:shd w:val="clear" w:color="auto" w:fill="auto"/>
            <w:vAlign w:val="center"/>
          </w:tcPr>
          <w:p w14:paraId="1ED7BF4C" w14:textId="5A160B6B" w:rsidR="00345F2B" w:rsidRPr="00C2454A" w:rsidRDefault="00345F2B" w:rsidP="005F2CC4">
            <w:pPr>
              <w:spacing w:line="276" w:lineRule="auto"/>
              <w:jc w:val="center"/>
              <w:rPr>
                <w:rFonts w:ascii="Times New Roman" w:hAnsi="Times New Roman" w:cs="Times New Roman"/>
              </w:rPr>
            </w:pPr>
            <w:r w:rsidRPr="00C2454A">
              <w:rPr>
                <w:rFonts w:ascii="Times New Roman" w:hAnsi="Times New Roman" w:cs="Times New Roman"/>
              </w:rPr>
              <w:t>DPUE</w:t>
            </w:r>
          </w:p>
        </w:tc>
        <w:tc>
          <w:tcPr>
            <w:tcW w:w="1394" w:type="dxa"/>
            <w:tcBorders>
              <w:bottom w:val="single" w:sz="4" w:space="0" w:color="auto"/>
            </w:tcBorders>
            <w:shd w:val="clear" w:color="auto" w:fill="auto"/>
            <w:vAlign w:val="center"/>
          </w:tcPr>
          <w:p w14:paraId="55D28D44" w14:textId="5EE0331F" w:rsidR="00345F2B" w:rsidRPr="00C2454A" w:rsidRDefault="00345F2B" w:rsidP="00C019E3">
            <w:pPr>
              <w:spacing w:after="0" w:line="276" w:lineRule="auto"/>
              <w:jc w:val="both"/>
              <w:rPr>
                <w:rFonts w:ascii="Times New Roman" w:hAnsi="Times New Roman" w:cs="Times New Roman"/>
                <w:bCs/>
              </w:rPr>
            </w:pPr>
            <w:r w:rsidRPr="00C2454A">
              <w:rPr>
                <w:rFonts w:ascii="Times New Roman" w:eastAsia="Times New Roman" w:hAnsi="Times New Roman" w:cs="Times New Roman"/>
              </w:rPr>
              <w:t>art. 23</w:t>
            </w:r>
          </w:p>
        </w:tc>
        <w:tc>
          <w:tcPr>
            <w:tcW w:w="6897" w:type="dxa"/>
            <w:tcBorders>
              <w:bottom w:val="single" w:sz="4" w:space="0" w:color="auto"/>
            </w:tcBorders>
            <w:shd w:val="clear" w:color="auto" w:fill="auto"/>
          </w:tcPr>
          <w:p w14:paraId="795EFEC8" w14:textId="77777777" w:rsidR="00345F2B" w:rsidRPr="00C2454A" w:rsidRDefault="00345F2B" w:rsidP="00793240">
            <w:pPr>
              <w:widowControl w:val="0"/>
              <w:autoSpaceDE w:val="0"/>
              <w:autoSpaceDN w:val="0"/>
              <w:adjustRightInd w:val="0"/>
              <w:spacing w:line="276" w:lineRule="auto"/>
              <w:jc w:val="both"/>
              <w:rPr>
                <w:rFonts w:ascii="Times New Roman" w:eastAsia="Times New Roman" w:hAnsi="Times New Roman" w:cs="Times New Roman"/>
              </w:rPr>
            </w:pPr>
            <w:r w:rsidRPr="00A9429D">
              <w:rPr>
                <w:rFonts w:ascii="Times New Roman" w:hAnsi="Times New Roman" w:cs="Times New Roman"/>
              </w:rPr>
              <w:t>w zakresie usunięcia pkt 1-3</w:t>
            </w:r>
            <w:r w:rsidR="00793240" w:rsidRPr="00A9429D">
              <w:rPr>
                <w:rFonts w:ascii="Times New Roman" w:eastAsia="Times New Roman" w:hAnsi="Times New Roman" w:cs="Times New Roman"/>
              </w:rPr>
              <w:t xml:space="preserve"> dot</w:t>
            </w:r>
            <w:r w:rsidR="00793240" w:rsidRPr="00C2454A">
              <w:rPr>
                <w:rFonts w:ascii="Times New Roman" w:eastAsia="Times New Roman" w:hAnsi="Times New Roman" w:cs="Times New Roman"/>
              </w:rPr>
              <w:t>. m.in. modyfikacji nieprawidłowych danych SIS, usuwania tych danych oraz przedłużania terminu ich przechowywania;</w:t>
            </w:r>
          </w:p>
          <w:p w14:paraId="453878AA" w14:textId="77777777" w:rsidR="006C7DC9" w:rsidRPr="00C2454A" w:rsidRDefault="00793240" w:rsidP="00AE0C85">
            <w:pPr>
              <w:widowControl w:val="0"/>
              <w:autoSpaceDE w:val="0"/>
              <w:autoSpaceDN w:val="0"/>
              <w:adjustRightInd w:val="0"/>
              <w:spacing w:line="276" w:lineRule="auto"/>
              <w:jc w:val="both"/>
              <w:rPr>
                <w:rFonts w:ascii="Times New Roman" w:eastAsia="Times New Roman" w:hAnsi="Times New Roman" w:cs="Times New Roman"/>
              </w:rPr>
            </w:pPr>
            <w:r w:rsidRPr="002F2EC4">
              <w:rPr>
                <w:rFonts w:ascii="Times New Roman" w:eastAsia="Times New Roman" w:hAnsi="Times New Roman" w:cs="Times New Roman"/>
              </w:rPr>
              <w:t>1/ nie jest jasny</w:t>
            </w:r>
            <w:r w:rsidR="00AE0C85" w:rsidRPr="002F2EC4">
              <w:rPr>
                <w:rFonts w:ascii="Times New Roman" w:eastAsia="Times New Roman" w:hAnsi="Times New Roman" w:cs="Times New Roman"/>
              </w:rPr>
              <w:t xml:space="preserve">- zwłaszcza wobec braku tabel zgodności, które pozwoliłyby na całościową analizę projektowanych zmian - </w:t>
            </w:r>
            <w:r w:rsidRPr="002F2EC4">
              <w:rPr>
                <w:rFonts w:ascii="Times New Roman" w:eastAsia="Times New Roman" w:hAnsi="Times New Roman" w:cs="Times New Roman"/>
              </w:rPr>
              <w:t>związek</w:t>
            </w:r>
            <w:r w:rsidRPr="00C2454A">
              <w:rPr>
                <w:rFonts w:ascii="Times New Roman" w:eastAsia="Times New Roman" w:hAnsi="Times New Roman" w:cs="Times New Roman"/>
              </w:rPr>
              <w:t xml:space="preserve"> z motywami uzasadnienia projektu</w:t>
            </w:r>
            <w:r w:rsidR="00AE0C85" w:rsidRPr="00C2454A">
              <w:rPr>
                <w:rFonts w:ascii="Times New Roman" w:eastAsia="Times New Roman" w:hAnsi="Times New Roman" w:cs="Times New Roman"/>
              </w:rPr>
              <w:t>, wg którego zmiana ma na celu dostosowanie tego przepisu głównie do art. 53 rozporządzenia 2018/1861 (terminy weryfikacji wpisów dot. osób) oraz art. 55 rozporządzenia 2018/1862 (przesłanki usunięcia wpisów z SIS)</w:t>
            </w:r>
            <w:r w:rsidR="006C7DC9" w:rsidRPr="00C2454A">
              <w:rPr>
                <w:rFonts w:ascii="Times New Roman" w:eastAsia="Times New Roman" w:hAnsi="Times New Roman" w:cs="Times New Roman"/>
              </w:rPr>
              <w:t>;</w:t>
            </w:r>
          </w:p>
          <w:p w14:paraId="09824E8F" w14:textId="6CC78C63" w:rsidR="00793240" w:rsidRPr="00C2454A" w:rsidRDefault="006C7DC9" w:rsidP="006C7DC9">
            <w:pPr>
              <w:widowControl w:val="0"/>
              <w:autoSpaceDE w:val="0"/>
              <w:autoSpaceDN w:val="0"/>
              <w:adjustRightInd w:val="0"/>
              <w:spacing w:line="276" w:lineRule="auto"/>
              <w:jc w:val="both"/>
              <w:rPr>
                <w:rFonts w:ascii="Times New Roman" w:eastAsia="Times New Roman" w:hAnsi="Times New Roman" w:cs="Times New Roman"/>
              </w:rPr>
            </w:pPr>
            <w:r w:rsidRPr="00C2454A">
              <w:rPr>
                <w:rFonts w:ascii="Times New Roman" w:eastAsia="Times New Roman" w:hAnsi="Times New Roman" w:cs="Times New Roman"/>
              </w:rPr>
              <w:t xml:space="preserve">2/ </w:t>
            </w:r>
            <w:r w:rsidR="00AE0C85" w:rsidRPr="00C2454A">
              <w:rPr>
                <w:rFonts w:ascii="Times New Roman" w:eastAsia="Times New Roman" w:hAnsi="Times New Roman" w:cs="Times New Roman"/>
              </w:rPr>
              <w:t>wskazany art. 53 rozporządzenia 2018/</w:t>
            </w:r>
            <w:r w:rsidR="00AE0C85" w:rsidRPr="00C2454A">
              <w:rPr>
                <w:rFonts w:ascii="Times New Roman" w:eastAsia="Times New Roman" w:hAnsi="Times New Roman" w:cs="Times New Roman"/>
                <w:u w:val="single"/>
              </w:rPr>
              <w:t>1861</w:t>
            </w:r>
            <w:r w:rsidR="00AE0C85" w:rsidRPr="00C2454A">
              <w:rPr>
                <w:rFonts w:ascii="Times New Roman" w:eastAsia="Times New Roman" w:hAnsi="Times New Roman" w:cs="Times New Roman"/>
              </w:rPr>
              <w:t xml:space="preserve"> dotyczy prawa do dostępu, sprostowania nieprawidłowych danych i usuwania danych przec</w:t>
            </w:r>
            <w:r w:rsidRPr="00C2454A">
              <w:rPr>
                <w:rFonts w:ascii="Times New Roman" w:eastAsia="Times New Roman" w:hAnsi="Times New Roman" w:cs="Times New Roman"/>
              </w:rPr>
              <w:t>howywanych niezgodnie z prawem - t</w:t>
            </w:r>
            <w:r w:rsidR="00AE0C85" w:rsidRPr="00C2454A">
              <w:rPr>
                <w:rFonts w:ascii="Times New Roman" w:eastAsia="Times New Roman" w:hAnsi="Times New Roman" w:cs="Times New Roman"/>
              </w:rPr>
              <w:t>ermin weryfikacji wpisów dot</w:t>
            </w:r>
            <w:r w:rsidRPr="00C2454A">
              <w:rPr>
                <w:rFonts w:ascii="Times New Roman" w:eastAsia="Times New Roman" w:hAnsi="Times New Roman" w:cs="Times New Roman"/>
              </w:rPr>
              <w:t>.</w:t>
            </w:r>
            <w:r w:rsidR="00AE0C85" w:rsidRPr="00C2454A">
              <w:rPr>
                <w:rFonts w:ascii="Times New Roman" w:eastAsia="Times New Roman" w:hAnsi="Times New Roman" w:cs="Times New Roman"/>
              </w:rPr>
              <w:t xml:space="preserve"> osób określa art. 53 rozporządzenia 2018/</w:t>
            </w:r>
            <w:r w:rsidR="00AE0C85" w:rsidRPr="00C2454A">
              <w:rPr>
                <w:rFonts w:ascii="Times New Roman" w:eastAsia="Times New Roman" w:hAnsi="Times New Roman" w:cs="Times New Roman"/>
                <w:u w:val="single"/>
              </w:rPr>
              <w:t>1862</w:t>
            </w:r>
            <w:r w:rsidR="00AE0C85" w:rsidRPr="00C2454A">
              <w:rPr>
                <w:rFonts w:ascii="Times New Roman" w:eastAsia="Times New Roman" w:hAnsi="Times New Roman" w:cs="Times New Roman"/>
              </w:rPr>
              <w:t>.</w:t>
            </w:r>
          </w:p>
        </w:tc>
        <w:tc>
          <w:tcPr>
            <w:tcW w:w="5128" w:type="dxa"/>
            <w:tcBorders>
              <w:bottom w:val="single" w:sz="4" w:space="0" w:color="auto"/>
            </w:tcBorders>
            <w:shd w:val="clear" w:color="auto" w:fill="auto"/>
          </w:tcPr>
          <w:p w14:paraId="0144FC44" w14:textId="6AFCA6BE" w:rsidR="00196157" w:rsidRDefault="00C3205C" w:rsidP="000454B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t>
            </w:r>
            <w:r w:rsidR="00196157">
              <w:rPr>
                <w:rFonts w:ascii="Times New Roman" w:eastAsia="Times New Roman" w:hAnsi="Times New Roman" w:cs="Times New Roman"/>
                <w:lang w:eastAsia="pl-PL"/>
              </w:rPr>
              <w:t>zgodniono</w:t>
            </w:r>
            <w:r>
              <w:rPr>
                <w:rFonts w:ascii="Times New Roman" w:eastAsia="Times New Roman" w:hAnsi="Times New Roman" w:cs="Times New Roman"/>
                <w:lang w:eastAsia="pl-PL"/>
              </w:rPr>
              <w:t xml:space="preserve"> – w tym zakresie uzgodniono także potrzebę wykreślenia z art. 23 odniesienia do organów wskazanych w art. 3 z uwagi na ich odpowiedzialność za dokonywany wpis;</w:t>
            </w:r>
          </w:p>
          <w:p w14:paraId="37AC2155" w14:textId="77777777" w:rsidR="00196157" w:rsidRDefault="00196157" w:rsidP="000454B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uwagę rozpoznano łącz</w:t>
            </w:r>
            <w:r w:rsidRPr="000454BA">
              <w:rPr>
                <w:rFonts w:ascii="Times New Roman" w:eastAsia="Times New Roman" w:hAnsi="Times New Roman" w:cs="Times New Roman"/>
                <w:lang w:eastAsia="pl-PL"/>
              </w:rPr>
              <w:t xml:space="preserve">nie z uwagą PUODO nr </w:t>
            </w:r>
            <w:r>
              <w:rPr>
                <w:rFonts w:ascii="Times New Roman" w:eastAsia="Times New Roman" w:hAnsi="Times New Roman" w:cs="Times New Roman"/>
                <w:lang w:eastAsia="pl-PL"/>
              </w:rPr>
              <w:t>24 i MS nr 41</w:t>
            </w:r>
          </w:p>
          <w:p w14:paraId="2359C1D8" w14:textId="4DEF5BF6" w:rsidR="00345F2B" w:rsidRDefault="00196157" w:rsidP="000454B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usunięcie pkt 1-3 art. 23 ustawy nie wiąże się z potrzebą regulacji objętego nimi zakresu w projekcie, gdyż kwestie dot. procedury związanej z przeprowadzaniem operacji na wpisach do SIS oraz gromadzeniem informacji w tym zakresie dokonywane są </w:t>
            </w:r>
            <w:r w:rsidR="008729C9">
              <w:rPr>
                <w:rFonts w:ascii="Times New Roman" w:eastAsia="Times New Roman" w:hAnsi="Times New Roman" w:cs="Times New Roman"/>
                <w:lang w:eastAsia="pl-PL"/>
              </w:rPr>
              <w:t xml:space="preserve">w systemie </w:t>
            </w:r>
            <w:r>
              <w:rPr>
                <w:rFonts w:ascii="Times New Roman" w:eastAsia="Times New Roman" w:hAnsi="Times New Roman" w:cs="Times New Roman"/>
                <w:lang w:eastAsia="pl-PL"/>
              </w:rPr>
              <w:t>automatycznie, na poziomie technicznym</w:t>
            </w:r>
          </w:p>
          <w:p w14:paraId="6E91EAED" w14:textId="1DB5BB8E" w:rsidR="000454BA" w:rsidRDefault="00AC44EC" w:rsidP="00AC44E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196157">
              <w:rPr>
                <w:rFonts w:ascii="Times New Roman" w:eastAsia="Times New Roman" w:hAnsi="Times New Roman" w:cs="Times New Roman"/>
                <w:lang w:eastAsia="pl-PL"/>
              </w:rPr>
              <w:t xml:space="preserve">w związku z ww. z aktualnej wersji projektu należy usunąć </w:t>
            </w:r>
            <w:proofErr w:type="spellStart"/>
            <w:r w:rsidR="00196157">
              <w:rPr>
                <w:rFonts w:ascii="Times New Roman" w:eastAsia="Times New Roman" w:hAnsi="Times New Roman" w:cs="Times New Roman"/>
                <w:lang w:eastAsia="pl-PL"/>
              </w:rPr>
              <w:t>zd</w:t>
            </w:r>
            <w:proofErr w:type="spellEnd"/>
            <w:r w:rsidR="00196157">
              <w:rPr>
                <w:rFonts w:ascii="Times New Roman" w:eastAsia="Times New Roman" w:hAnsi="Times New Roman" w:cs="Times New Roman"/>
                <w:lang w:eastAsia="pl-PL"/>
              </w:rPr>
              <w:t xml:space="preserve">. 2 ust. 3  art. 3 projektu </w:t>
            </w:r>
            <w:r w:rsidR="00925EAA">
              <w:rPr>
                <w:rFonts w:ascii="Times New Roman" w:eastAsia="Times New Roman" w:hAnsi="Times New Roman" w:cs="Times New Roman"/>
                <w:lang w:eastAsia="pl-PL"/>
              </w:rPr>
              <w:t xml:space="preserve">oraz ust. 4  dot. roli COT KSI </w:t>
            </w:r>
            <w:r w:rsidR="00196157">
              <w:rPr>
                <w:rFonts w:ascii="Times New Roman" w:eastAsia="Times New Roman" w:hAnsi="Times New Roman" w:cs="Times New Roman"/>
                <w:lang w:eastAsia="pl-PL"/>
              </w:rPr>
              <w:t xml:space="preserve">wraz z korektą </w:t>
            </w:r>
            <w:r w:rsidR="000454BA">
              <w:rPr>
                <w:rFonts w:ascii="Times New Roman" w:eastAsia="Times New Roman" w:hAnsi="Times New Roman" w:cs="Times New Roman"/>
                <w:lang w:eastAsia="pl-PL"/>
              </w:rPr>
              <w:t>uzasadnienia projektu</w:t>
            </w:r>
          </w:p>
          <w:p w14:paraId="4BEC307A" w14:textId="77777777" w:rsidR="00AC44EC" w:rsidRDefault="00AC44EC" w:rsidP="00AC44EC">
            <w:pPr>
              <w:spacing w:after="0" w:line="276" w:lineRule="auto"/>
              <w:jc w:val="both"/>
              <w:rPr>
                <w:rFonts w:ascii="Times New Roman" w:eastAsia="Times New Roman" w:hAnsi="Times New Roman" w:cs="Times New Roman"/>
                <w:lang w:eastAsia="pl-PL"/>
              </w:rPr>
            </w:pPr>
          </w:p>
          <w:p w14:paraId="670C8A28" w14:textId="3D6B7DFA" w:rsidR="00F868F4" w:rsidRPr="00C2454A" w:rsidRDefault="00F868F4" w:rsidP="00AC44EC">
            <w:pPr>
              <w:spacing w:after="0" w:line="276" w:lineRule="auto"/>
              <w:jc w:val="both"/>
              <w:rPr>
                <w:rFonts w:ascii="Times New Roman" w:eastAsia="Times New Roman" w:hAnsi="Times New Roman" w:cs="Times New Roman"/>
                <w:lang w:eastAsia="pl-PL"/>
              </w:rPr>
            </w:pPr>
          </w:p>
        </w:tc>
      </w:tr>
      <w:tr w:rsidR="00E97A78" w:rsidRPr="00C2454A" w14:paraId="569C166F" w14:textId="77777777" w:rsidTr="00AF7C3A">
        <w:tc>
          <w:tcPr>
            <w:tcW w:w="562" w:type="dxa"/>
            <w:tcBorders>
              <w:bottom w:val="single" w:sz="4" w:space="0" w:color="auto"/>
            </w:tcBorders>
            <w:shd w:val="clear" w:color="auto" w:fill="FFFFFF" w:themeFill="background1"/>
            <w:vAlign w:val="center"/>
          </w:tcPr>
          <w:p w14:paraId="2B7BE344" w14:textId="4E8E6876" w:rsidR="00E97A78" w:rsidRPr="00C2454A" w:rsidRDefault="00E97A78"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4" w:space="0" w:color="auto"/>
            </w:tcBorders>
            <w:shd w:val="clear" w:color="auto" w:fill="FFFFFF" w:themeFill="background1"/>
            <w:vAlign w:val="center"/>
          </w:tcPr>
          <w:p w14:paraId="4ACA7DB8" w14:textId="3D158255" w:rsidR="00E97A78" w:rsidRPr="00C2454A" w:rsidRDefault="00E97A78" w:rsidP="005F2CC4">
            <w:pPr>
              <w:spacing w:line="276" w:lineRule="auto"/>
              <w:jc w:val="center"/>
              <w:rPr>
                <w:rFonts w:ascii="Times New Roman" w:hAnsi="Times New Roman" w:cs="Times New Roman"/>
              </w:rPr>
            </w:pPr>
            <w:r w:rsidRPr="00C2454A">
              <w:rPr>
                <w:rFonts w:ascii="Times New Roman" w:hAnsi="Times New Roman" w:cs="Times New Roman"/>
              </w:rPr>
              <w:t>DPUE</w:t>
            </w:r>
          </w:p>
        </w:tc>
        <w:tc>
          <w:tcPr>
            <w:tcW w:w="1394" w:type="dxa"/>
            <w:tcBorders>
              <w:bottom w:val="single" w:sz="4" w:space="0" w:color="auto"/>
            </w:tcBorders>
            <w:shd w:val="clear" w:color="auto" w:fill="FFFFFF" w:themeFill="background1"/>
            <w:vAlign w:val="center"/>
          </w:tcPr>
          <w:p w14:paraId="5545E9C3" w14:textId="36345B2F" w:rsidR="00E97A78" w:rsidRPr="00C2454A" w:rsidRDefault="00E97A78" w:rsidP="00C019E3">
            <w:pPr>
              <w:spacing w:after="0" w:line="276" w:lineRule="auto"/>
              <w:jc w:val="both"/>
              <w:rPr>
                <w:rFonts w:ascii="Times New Roman" w:eastAsia="Times New Roman" w:hAnsi="Times New Roman" w:cs="Times New Roman"/>
              </w:rPr>
            </w:pPr>
            <w:r w:rsidRPr="00C2454A">
              <w:rPr>
                <w:rFonts w:ascii="Times New Roman" w:eastAsia="Times New Roman" w:hAnsi="Times New Roman" w:cs="Times New Roman"/>
              </w:rPr>
              <w:t>art. 37</w:t>
            </w:r>
          </w:p>
        </w:tc>
        <w:tc>
          <w:tcPr>
            <w:tcW w:w="6897" w:type="dxa"/>
            <w:tcBorders>
              <w:bottom w:val="single" w:sz="4" w:space="0" w:color="auto"/>
            </w:tcBorders>
            <w:shd w:val="clear" w:color="auto" w:fill="FFFFFF" w:themeFill="background1"/>
          </w:tcPr>
          <w:p w14:paraId="23DE3264" w14:textId="12121384" w:rsidR="00E97A78" w:rsidRPr="00AF7C3A" w:rsidRDefault="00E97A78" w:rsidP="00E97A78">
            <w:pPr>
              <w:widowControl w:val="0"/>
              <w:autoSpaceDE w:val="0"/>
              <w:autoSpaceDN w:val="0"/>
              <w:adjustRightInd w:val="0"/>
              <w:spacing w:after="120" w:line="276" w:lineRule="auto"/>
              <w:jc w:val="both"/>
              <w:rPr>
                <w:rFonts w:ascii="Times New Roman" w:eastAsia="Times New Roman" w:hAnsi="Times New Roman" w:cs="Times New Roman"/>
              </w:rPr>
            </w:pPr>
            <w:r w:rsidRPr="00C2454A">
              <w:rPr>
                <w:rFonts w:ascii="Times New Roman" w:hAnsi="Times New Roman" w:cs="Times New Roman"/>
              </w:rPr>
              <w:t xml:space="preserve">z przepisu nie wynika, w jaki sposób biuro SIRENE będzie mieć zapewniony dostęp do fachowego doradztwa. Kwestia ta nie została również wyjaśniona w uzasadnieniu. </w:t>
            </w:r>
            <w:r w:rsidRPr="00AF7C3A">
              <w:rPr>
                <w:rFonts w:ascii="Times New Roman" w:hAnsi="Times New Roman" w:cs="Times New Roman"/>
              </w:rPr>
              <w:t xml:space="preserve">Jeżeli fachowe doradztwo będzie zapewnione w ramach obowiązku współpracy właściwych organów z biurem SIRENE, to w tym zakresie projektodawca powinien przedstawić stosowne wyjaśnienia. </w:t>
            </w:r>
          </w:p>
          <w:p w14:paraId="7625C995" w14:textId="61F97E81" w:rsidR="00E97A78" w:rsidRPr="00C2454A" w:rsidRDefault="00E97A78" w:rsidP="00E97A78">
            <w:pPr>
              <w:widowControl w:val="0"/>
              <w:autoSpaceDE w:val="0"/>
              <w:autoSpaceDN w:val="0"/>
              <w:adjustRightInd w:val="0"/>
              <w:spacing w:after="120" w:line="276" w:lineRule="auto"/>
              <w:jc w:val="both"/>
              <w:rPr>
                <w:rFonts w:ascii="Times New Roman" w:eastAsia="Times New Roman" w:hAnsi="Times New Roman" w:cs="Times New Roman"/>
              </w:rPr>
            </w:pPr>
            <w:r w:rsidRPr="00AF7C3A">
              <w:rPr>
                <w:rFonts w:ascii="Times New Roman" w:hAnsi="Times New Roman" w:cs="Times New Roman"/>
              </w:rPr>
              <w:t xml:space="preserve">U: zgodnie z art. 7 ust. 2 akapit drugi rozporządzenia </w:t>
            </w:r>
            <w:r w:rsidRPr="00AF7C3A">
              <w:rPr>
                <w:rFonts w:ascii="Times New Roman" w:hAnsi="Times New Roman" w:cs="Times New Roman"/>
                <w:bCs/>
              </w:rPr>
              <w:t xml:space="preserve">2018/1862, każde biuro SIRENE </w:t>
            </w:r>
            <w:r w:rsidRPr="00AF7C3A">
              <w:rPr>
                <w:rFonts w:ascii="Times New Roman" w:hAnsi="Times New Roman" w:cs="Times New Roman"/>
              </w:rPr>
              <w:t>musi mieć, zgodnie z prawem krajowym, łatwy bezpośredni lub pośredni dostęp do wszelkich stosownych informacji krajowych, w tym krajowych baz danych i wszelkich informacji dotyczących wpisów swojego państwa członkowskiego, a także do fachowego doradztwa, tak by móc podejmować działania w odpowiedzi na wnioski o informacje uzupełniające w szybki sposób i w terminach określonych w art. 8.</w:t>
            </w:r>
            <w:r w:rsidRPr="00C2454A">
              <w:rPr>
                <w:rFonts w:ascii="Times New Roman" w:hAnsi="Times New Roman" w:cs="Times New Roman"/>
              </w:rPr>
              <w:t xml:space="preserve"> </w:t>
            </w:r>
          </w:p>
        </w:tc>
        <w:tc>
          <w:tcPr>
            <w:tcW w:w="5128" w:type="dxa"/>
            <w:tcBorders>
              <w:bottom w:val="single" w:sz="4" w:space="0" w:color="auto"/>
            </w:tcBorders>
            <w:shd w:val="clear" w:color="auto" w:fill="FFFFFF" w:themeFill="background1"/>
          </w:tcPr>
          <w:p w14:paraId="232A013F" w14:textId="1D7E97D8" w:rsidR="00222B33" w:rsidRDefault="00222B33" w:rsidP="006C7DC9">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49EE581D" w14:textId="74866C08" w:rsidR="00F868F4" w:rsidRDefault="00222B33" w:rsidP="006C7DC9">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F868F4">
              <w:rPr>
                <w:rFonts w:ascii="Times New Roman" w:eastAsia="Times New Roman" w:hAnsi="Times New Roman" w:cs="Times New Roman"/>
                <w:lang w:eastAsia="pl-PL"/>
              </w:rPr>
              <w:t>uwzględniono</w:t>
            </w:r>
            <w:r>
              <w:rPr>
                <w:rFonts w:ascii="Times New Roman" w:eastAsia="Times New Roman" w:hAnsi="Times New Roman" w:cs="Times New Roman"/>
                <w:lang w:eastAsia="pl-PL"/>
              </w:rPr>
              <w:t xml:space="preserve"> </w:t>
            </w:r>
            <w:r w:rsidR="00F868F4">
              <w:rPr>
                <w:rFonts w:ascii="Times New Roman" w:eastAsia="Times New Roman" w:hAnsi="Times New Roman" w:cs="Times New Roman"/>
                <w:lang w:eastAsia="pl-PL"/>
              </w:rPr>
              <w:t>- ww. kwestia została wyjaś</w:t>
            </w:r>
            <w:r w:rsidR="00AF7C3A">
              <w:rPr>
                <w:rFonts w:ascii="Times New Roman" w:eastAsia="Times New Roman" w:hAnsi="Times New Roman" w:cs="Times New Roman"/>
                <w:lang w:eastAsia="pl-PL"/>
              </w:rPr>
              <w:t>niona w uzasadnieniu projektu (</w:t>
            </w:r>
            <w:r w:rsidR="00F868F4">
              <w:rPr>
                <w:rFonts w:ascii="Times New Roman" w:eastAsia="Times New Roman" w:hAnsi="Times New Roman" w:cs="Times New Roman"/>
                <w:lang w:eastAsia="pl-PL"/>
              </w:rPr>
              <w:t>na podstawie i</w:t>
            </w:r>
            <w:r w:rsidR="00AF7C3A">
              <w:rPr>
                <w:rFonts w:ascii="Times New Roman" w:eastAsia="Times New Roman" w:hAnsi="Times New Roman" w:cs="Times New Roman"/>
                <w:lang w:eastAsia="pl-PL"/>
              </w:rPr>
              <w:t>nformacji z polskiego biura SIRENE)</w:t>
            </w:r>
          </w:p>
          <w:p w14:paraId="22B360FA" w14:textId="0E08DF1F" w:rsidR="002F76E5" w:rsidRPr="00C2454A" w:rsidRDefault="002F76E5" w:rsidP="006C7DC9">
            <w:pPr>
              <w:spacing w:after="0" w:line="276" w:lineRule="auto"/>
              <w:jc w:val="both"/>
              <w:rPr>
                <w:rFonts w:ascii="Times New Roman" w:eastAsia="Times New Roman" w:hAnsi="Times New Roman" w:cs="Times New Roman"/>
                <w:lang w:eastAsia="pl-PL"/>
              </w:rPr>
            </w:pPr>
          </w:p>
        </w:tc>
      </w:tr>
      <w:tr w:rsidR="00E4556F" w:rsidRPr="00E4556F" w14:paraId="165C4C5B" w14:textId="77777777" w:rsidTr="00FB2574">
        <w:tc>
          <w:tcPr>
            <w:tcW w:w="562" w:type="dxa"/>
            <w:tcBorders>
              <w:bottom w:val="single" w:sz="24" w:space="0" w:color="auto"/>
            </w:tcBorders>
            <w:shd w:val="clear" w:color="auto" w:fill="auto"/>
            <w:vAlign w:val="center"/>
          </w:tcPr>
          <w:p w14:paraId="69FC66CB" w14:textId="57B73A2F" w:rsidR="00642E70" w:rsidRPr="00E4556F" w:rsidRDefault="00642E70"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24" w:space="0" w:color="auto"/>
            </w:tcBorders>
            <w:shd w:val="clear" w:color="auto" w:fill="auto"/>
            <w:vAlign w:val="center"/>
          </w:tcPr>
          <w:p w14:paraId="13005F34" w14:textId="1968024C" w:rsidR="00642E70" w:rsidRPr="00E4556F" w:rsidRDefault="00642E70" w:rsidP="005F2CC4">
            <w:pPr>
              <w:spacing w:line="276" w:lineRule="auto"/>
              <w:jc w:val="center"/>
              <w:rPr>
                <w:rFonts w:ascii="Times New Roman" w:hAnsi="Times New Roman" w:cs="Times New Roman"/>
              </w:rPr>
            </w:pPr>
            <w:r w:rsidRPr="00E4556F">
              <w:rPr>
                <w:rFonts w:ascii="Times New Roman" w:hAnsi="Times New Roman" w:cs="Times New Roman"/>
              </w:rPr>
              <w:t>DPUE</w:t>
            </w:r>
          </w:p>
        </w:tc>
        <w:tc>
          <w:tcPr>
            <w:tcW w:w="1394" w:type="dxa"/>
            <w:tcBorders>
              <w:bottom w:val="single" w:sz="24" w:space="0" w:color="auto"/>
            </w:tcBorders>
            <w:shd w:val="clear" w:color="auto" w:fill="auto"/>
            <w:vAlign w:val="center"/>
          </w:tcPr>
          <w:p w14:paraId="1050FF1F" w14:textId="49883CFF" w:rsidR="00642E70" w:rsidRPr="00E4556F" w:rsidRDefault="00D51BDB" w:rsidP="00C019E3">
            <w:pPr>
              <w:spacing w:after="0" w:line="276" w:lineRule="auto"/>
              <w:jc w:val="both"/>
              <w:rPr>
                <w:rFonts w:ascii="Times New Roman" w:eastAsia="Times New Roman" w:hAnsi="Times New Roman" w:cs="Times New Roman"/>
                <w:lang w:eastAsia="pl-PL"/>
              </w:rPr>
            </w:pPr>
            <w:r w:rsidRPr="00E4556F">
              <w:rPr>
                <w:rFonts w:ascii="Times New Roman" w:eastAsia="Times New Roman" w:hAnsi="Times New Roman" w:cs="Times New Roman"/>
                <w:lang w:eastAsia="pl-PL"/>
              </w:rPr>
              <w:t>uzasadnienie</w:t>
            </w:r>
          </w:p>
        </w:tc>
        <w:tc>
          <w:tcPr>
            <w:tcW w:w="6897" w:type="dxa"/>
            <w:tcBorders>
              <w:bottom w:val="single" w:sz="24" w:space="0" w:color="auto"/>
            </w:tcBorders>
            <w:shd w:val="clear" w:color="auto" w:fill="auto"/>
          </w:tcPr>
          <w:p w14:paraId="0E5808B4" w14:textId="393BE335" w:rsidR="00642E70" w:rsidRPr="00E4556F" w:rsidRDefault="00E97A78" w:rsidP="00E4556F">
            <w:pPr>
              <w:spacing w:after="0" w:line="276" w:lineRule="auto"/>
              <w:jc w:val="both"/>
              <w:rPr>
                <w:rFonts w:ascii="Times New Roman" w:eastAsia="Times New Roman" w:hAnsi="Times New Roman" w:cs="Times New Roman"/>
                <w:lang w:eastAsia="pl-PL"/>
              </w:rPr>
            </w:pPr>
            <w:r w:rsidRPr="00E4556F">
              <w:rPr>
                <w:rFonts w:ascii="Times New Roman" w:eastAsia="Times New Roman" w:hAnsi="Times New Roman" w:cs="Times New Roman"/>
              </w:rPr>
              <w:t>brak dostatecznego wyjaśnienia niektórych zagadnień w uzasadnieniu (w zakresie kwestii, które zgodnie z rozporządzeniami powinny być uregulowane w prawie krajowym)</w:t>
            </w:r>
          </w:p>
        </w:tc>
        <w:tc>
          <w:tcPr>
            <w:tcW w:w="5128" w:type="dxa"/>
            <w:tcBorders>
              <w:bottom w:val="single" w:sz="24" w:space="0" w:color="auto"/>
            </w:tcBorders>
            <w:shd w:val="clear" w:color="auto" w:fill="auto"/>
          </w:tcPr>
          <w:p w14:paraId="1EAB02CF" w14:textId="2E51A413" w:rsidR="00FB2574" w:rsidRDefault="008175E3" w:rsidP="008175E3">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uzgodniono potrzebę </w:t>
            </w:r>
            <w:r w:rsidRPr="000C3948">
              <w:rPr>
                <w:rFonts w:ascii="Times New Roman" w:eastAsia="Times New Roman" w:hAnsi="Times New Roman" w:cs="Times New Roman"/>
                <w:lang w:eastAsia="pl-PL"/>
              </w:rPr>
              <w:t>przekazan</w:t>
            </w:r>
            <w:r>
              <w:rPr>
                <w:rFonts w:ascii="Times New Roman" w:eastAsia="Times New Roman" w:hAnsi="Times New Roman" w:cs="Times New Roman"/>
                <w:lang w:eastAsia="pl-PL"/>
              </w:rPr>
              <w:t>ia</w:t>
            </w:r>
            <w:r w:rsidRPr="000C3948">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skorygowanej </w:t>
            </w:r>
            <w:r w:rsidRPr="000C3948">
              <w:rPr>
                <w:rFonts w:ascii="Times New Roman" w:eastAsia="Times New Roman" w:hAnsi="Times New Roman" w:cs="Times New Roman"/>
                <w:lang w:eastAsia="pl-PL"/>
              </w:rPr>
              <w:t>ta</w:t>
            </w:r>
            <w:r>
              <w:rPr>
                <w:rFonts w:ascii="Times New Roman" w:eastAsia="Times New Roman" w:hAnsi="Times New Roman" w:cs="Times New Roman"/>
                <w:lang w:eastAsia="pl-PL"/>
              </w:rPr>
              <w:t xml:space="preserve">beli zgodności; </w:t>
            </w:r>
            <w:r w:rsidR="00FB2574">
              <w:rPr>
                <w:rFonts w:ascii="Times New Roman" w:eastAsia="Times New Roman" w:hAnsi="Times New Roman" w:cs="Times New Roman"/>
                <w:lang w:eastAsia="pl-PL"/>
              </w:rPr>
              <w:t xml:space="preserve">uzasadnienie </w:t>
            </w:r>
            <w:r>
              <w:rPr>
                <w:rFonts w:ascii="Times New Roman" w:eastAsia="Times New Roman" w:hAnsi="Times New Roman" w:cs="Times New Roman"/>
                <w:lang w:eastAsia="pl-PL"/>
              </w:rPr>
              <w:t xml:space="preserve">zostało </w:t>
            </w:r>
            <w:r w:rsidR="004B1F84">
              <w:rPr>
                <w:rFonts w:ascii="Times New Roman" w:eastAsia="Times New Roman" w:hAnsi="Times New Roman" w:cs="Times New Roman"/>
                <w:lang w:eastAsia="pl-PL"/>
              </w:rPr>
              <w:t>na tym etapie uzupełnione</w:t>
            </w:r>
            <w:r w:rsidR="00FB2574">
              <w:rPr>
                <w:rFonts w:ascii="Times New Roman" w:eastAsia="Times New Roman" w:hAnsi="Times New Roman" w:cs="Times New Roman"/>
                <w:lang w:eastAsia="pl-PL"/>
              </w:rPr>
              <w:t xml:space="preserve"> zgodnie ze wskazaniami </w:t>
            </w:r>
            <w:proofErr w:type="spellStart"/>
            <w:r w:rsidR="00FB2574">
              <w:rPr>
                <w:rFonts w:ascii="Times New Roman" w:eastAsia="Times New Roman" w:hAnsi="Times New Roman" w:cs="Times New Roman"/>
                <w:lang w:eastAsia="pl-PL"/>
              </w:rPr>
              <w:t>uwagodawców</w:t>
            </w:r>
            <w:proofErr w:type="spellEnd"/>
          </w:p>
          <w:p w14:paraId="62529CF5" w14:textId="6C8B0456" w:rsidR="00FB2574" w:rsidRPr="00E4556F" w:rsidRDefault="00FB2574" w:rsidP="00C019E3">
            <w:pPr>
              <w:spacing w:after="0" w:line="276" w:lineRule="auto"/>
              <w:jc w:val="both"/>
              <w:rPr>
                <w:rFonts w:ascii="Times New Roman" w:eastAsia="Times New Roman" w:hAnsi="Times New Roman" w:cs="Times New Roman"/>
                <w:lang w:eastAsia="pl-PL"/>
              </w:rPr>
            </w:pPr>
          </w:p>
        </w:tc>
      </w:tr>
      <w:tr w:rsidR="00FB7994" w:rsidRPr="00C2454A" w14:paraId="328D8C87" w14:textId="77777777" w:rsidTr="00D9718E">
        <w:tc>
          <w:tcPr>
            <w:tcW w:w="562" w:type="dxa"/>
            <w:tcBorders>
              <w:top w:val="single" w:sz="24" w:space="0" w:color="auto"/>
              <w:bottom w:val="single" w:sz="24" w:space="0" w:color="auto"/>
            </w:tcBorders>
            <w:shd w:val="clear" w:color="auto" w:fill="auto"/>
            <w:vAlign w:val="center"/>
          </w:tcPr>
          <w:p w14:paraId="5D227112" w14:textId="77777777" w:rsidR="00FB7994" w:rsidRPr="00D322BB"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top w:val="single" w:sz="24" w:space="0" w:color="auto"/>
              <w:bottom w:val="single" w:sz="24" w:space="0" w:color="auto"/>
            </w:tcBorders>
            <w:shd w:val="clear" w:color="auto" w:fill="auto"/>
            <w:vAlign w:val="center"/>
          </w:tcPr>
          <w:p w14:paraId="0D58B627" w14:textId="77777777" w:rsidR="00FB7994" w:rsidRPr="00D322BB" w:rsidRDefault="00FB7994" w:rsidP="005F2CC4">
            <w:pPr>
              <w:spacing w:after="0" w:line="276" w:lineRule="auto"/>
              <w:jc w:val="center"/>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KPRM</w:t>
            </w:r>
          </w:p>
          <w:p w14:paraId="1F50BE40" w14:textId="77777777" w:rsidR="00FB7994" w:rsidRPr="00D322BB" w:rsidRDefault="00FB7994" w:rsidP="005F2CC4">
            <w:pPr>
              <w:spacing w:after="0" w:line="276" w:lineRule="auto"/>
              <w:jc w:val="center"/>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-Koordynator OSR</w:t>
            </w:r>
          </w:p>
        </w:tc>
        <w:tc>
          <w:tcPr>
            <w:tcW w:w="1394" w:type="dxa"/>
            <w:tcBorders>
              <w:top w:val="single" w:sz="24" w:space="0" w:color="auto"/>
              <w:bottom w:val="single" w:sz="24" w:space="0" w:color="auto"/>
            </w:tcBorders>
            <w:shd w:val="clear" w:color="auto" w:fill="auto"/>
            <w:vAlign w:val="center"/>
          </w:tcPr>
          <w:p w14:paraId="779F6D0C" w14:textId="19A5289C" w:rsidR="002A01A5" w:rsidRPr="00D322BB" w:rsidRDefault="002A01A5" w:rsidP="002A01A5">
            <w:pPr>
              <w:spacing w:after="0" w:line="276" w:lineRule="auto"/>
              <w:jc w:val="both"/>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OSR</w:t>
            </w:r>
          </w:p>
          <w:p w14:paraId="3A27505C" w14:textId="71829C07" w:rsidR="00FB7994" w:rsidRPr="00D322BB" w:rsidRDefault="00FB7994" w:rsidP="00C019E3">
            <w:pPr>
              <w:spacing w:after="0" w:line="276" w:lineRule="auto"/>
              <w:jc w:val="both"/>
              <w:rPr>
                <w:rFonts w:ascii="Times New Roman" w:eastAsia="Times New Roman" w:hAnsi="Times New Roman" w:cs="Times New Roman"/>
                <w:lang w:eastAsia="pl-PL"/>
              </w:rPr>
            </w:pPr>
          </w:p>
        </w:tc>
        <w:tc>
          <w:tcPr>
            <w:tcW w:w="6897" w:type="dxa"/>
            <w:tcBorders>
              <w:top w:val="single" w:sz="24" w:space="0" w:color="auto"/>
              <w:bottom w:val="single" w:sz="24" w:space="0" w:color="auto"/>
            </w:tcBorders>
            <w:shd w:val="clear" w:color="auto" w:fill="auto"/>
          </w:tcPr>
          <w:p w14:paraId="11429B96" w14:textId="76DC2BA7" w:rsidR="00FB7994" w:rsidRPr="00D322BB" w:rsidRDefault="00FB7994" w:rsidP="00C019E3">
            <w:pPr>
              <w:spacing w:after="0" w:line="276" w:lineRule="auto"/>
              <w:jc w:val="both"/>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wskazane jest:</w:t>
            </w:r>
          </w:p>
          <w:p w14:paraId="43578BE1" w14:textId="77777777" w:rsidR="00FB7994" w:rsidRPr="00D322BB" w:rsidRDefault="00FB7994" w:rsidP="00C019E3">
            <w:pPr>
              <w:spacing w:after="0" w:line="276" w:lineRule="auto"/>
              <w:jc w:val="both"/>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1/ przedstawienie źródeł finansowania wszystkich wydatków związanych z wdrożeniem proponowanej ustawy wraz z</w:t>
            </w:r>
          </w:p>
          <w:p w14:paraId="109E0E08" w14:textId="77777777" w:rsidR="00FB7994" w:rsidRPr="00D322BB" w:rsidRDefault="00FB7994" w:rsidP="00C019E3">
            <w:pPr>
              <w:spacing w:after="0" w:line="276" w:lineRule="auto"/>
              <w:jc w:val="both"/>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 xml:space="preserve">2/ informacją, czy niezbędne będzie zwiększenie limitu budżetu państwa (pkt 6 OSR); </w:t>
            </w:r>
          </w:p>
          <w:p w14:paraId="1A8D13D6" w14:textId="68C82FBD" w:rsidR="00FB7994" w:rsidRPr="00D322BB" w:rsidRDefault="00FB7994" w:rsidP="00C019E3">
            <w:pPr>
              <w:spacing w:after="0" w:line="276" w:lineRule="auto"/>
              <w:jc w:val="both"/>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 xml:space="preserve">3/ zaprezentowanie przedstawionego zapotrzebowania organów i służb w formie </w:t>
            </w:r>
            <w:r w:rsidRPr="00D322BB">
              <w:rPr>
                <w:rFonts w:ascii="Times New Roman" w:eastAsia="Times New Roman" w:hAnsi="Times New Roman" w:cs="Times New Roman"/>
                <w:u w:val="single"/>
                <w:lang w:eastAsia="pl-PL"/>
              </w:rPr>
              <w:t>tabelarycznej</w:t>
            </w:r>
            <w:r w:rsidRPr="00D322BB">
              <w:rPr>
                <w:rFonts w:ascii="Times New Roman" w:eastAsia="Times New Roman" w:hAnsi="Times New Roman" w:cs="Times New Roman"/>
                <w:lang w:eastAsia="pl-PL"/>
              </w:rPr>
              <w:t>, przedstawiającej a/ poszczególne pozycje kosztowe, b/ podmiot odpowiedzialny i c/ moment ich poniesienia oraz d/ źródło ich finanso</w:t>
            </w:r>
            <w:r w:rsidR="002A01A5" w:rsidRPr="00D322BB">
              <w:rPr>
                <w:rFonts w:ascii="Times New Roman" w:eastAsia="Times New Roman" w:hAnsi="Times New Roman" w:cs="Times New Roman"/>
                <w:lang w:eastAsia="pl-PL"/>
              </w:rPr>
              <w:t>wania (np. w załączniku do OSR)</w:t>
            </w:r>
          </w:p>
          <w:p w14:paraId="62DC5E25" w14:textId="1EA315A8" w:rsidR="002A01A5" w:rsidRPr="00D322BB" w:rsidRDefault="002A01A5" w:rsidP="00C019E3">
            <w:pPr>
              <w:spacing w:after="0" w:line="276" w:lineRule="auto"/>
              <w:jc w:val="both"/>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oraz</w:t>
            </w:r>
          </w:p>
          <w:p w14:paraId="50108799" w14:textId="557446AD" w:rsidR="00FB7994" w:rsidRPr="00D322BB" w:rsidRDefault="002A01A5" w:rsidP="00D13AFA">
            <w:pPr>
              <w:spacing w:after="0" w:line="276" w:lineRule="auto"/>
              <w:jc w:val="both"/>
              <w:rPr>
                <w:rFonts w:ascii="Times New Roman" w:eastAsia="Times New Roman" w:hAnsi="Times New Roman" w:cs="Times New Roman"/>
                <w:lang w:eastAsia="pl-PL"/>
              </w:rPr>
            </w:pPr>
            <w:r w:rsidRPr="00D322BB">
              <w:rPr>
                <w:rFonts w:ascii="Times New Roman" w:eastAsia="Times New Roman" w:hAnsi="Times New Roman" w:cs="Times New Roman"/>
                <w:lang w:eastAsia="pl-PL"/>
              </w:rPr>
              <w:t>4/</w:t>
            </w:r>
            <w:r w:rsidR="00FB7994" w:rsidRPr="00D322BB">
              <w:rPr>
                <w:rFonts w:ascii="Times New Roman" w:eastAsia="Times New Roman" w:hAnsi="Times New Roman" w:cs="Times New Roman"/>
                <w:lang w:eastAsia="pl-PL"/>
              </w:rPr>
              <w:t xml:space="preserve"> niezbędne jest uzasadnienie skrócenia czasu trwania prowadzonych konsultacji publicznych w stosunku do wymaganego przez §129 uchwały nr 190 Rady Ministrów Regulamin pracy Rady Ministrów.</w:t>
            </w:r>
          </w:p>
        </w:tc>
        <w:tc>
          <w:tcPr>
            <w:tcW w:w="5128" w:type="dxa"/>
            <w:tcBorders>
              <w:top w:val="single" w:sz="24" w:space="0" w:color="auto"/>
              <w:bottom w:val="single" w:sz="24" w:space="0" w:color="auto"/>
            </w:tcBorders>
            <w:shd w:val="clear" w:color="auto" w:fill="auto"/>
          </w:tcPr>
          <w:p w14:paraId="66D2338E" w14:textId="204CDFBC" w:rsidR="009A0E2C" w:rsidRDefault="009A0E2C" w:rsidP="00D322B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76AED9F2" w14:textId="4D1C4AE8" w:rsidR="00D322BB" w:rsidRDefault="009A0E2C" w:rsidP="00D322B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D322BB">
              <w:rPr>
                <w:rFonts w:ascii="Times New Roman" w:eastAsia="Times New Roman" w:hAnsi="Times New Roman" w:cs="Times New Roman"/>
                <w:lang w:eastAsia="pl-PL"/>
              </w:rPr>
              <w:t>uwzględniono</w:t>
            </w:r>
            <w:r>
              <w:rPr>
                <w:rFonts w:ascii="Times New Roman" w:eastAsia="Times New Roman" w:hAnsi="Times New Roman" w:cs="Times New Roman"/>
                <w:lang w:eastAsia="pl-PL"/>
              </w:rPr>
              <w:t xml:space="preserve"> </w:t>
            </w:r>
            <w:r w:rsidR="00D322BB">
              <w:rPr>
                <w:rFonts w:ascii="Times New Roman" w:eastAsia="Times New Roman" w:hAnsi="Times New Roman" w:cs="Times New Roman"/>
                <w:lang w:eastAsia="pl-PL"/>
              </w:rPr>
              <w:t>- zaktualizowano pkt 6 OSR i dodano załącznik – tabelaryczne ujęcie kosztów;</w:t>
            </w:r>
          </w:p>
          <w:p w14:paraId="03F03E2A" w14:textId="67681CD5" w:rsidR="002A01A5" w:rsidRPr="00C2454A" w:rsidRDefault="00D322BB" w:rsidP="00D322B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2A01A5">
              <w:rPr>
                <w:rFonts w:ascii="Times New Roman" w:eastAsia="Times New Roman" w:hAnsi="Times New Roman" w:cs="Times New Roman"/>
                <w:lang w:eastAsia="pl-PL"/>
              </w:rPr>
              <w:t xml:space="preserve"> uzupełniono pkt 5 OSR o motywy skrócenia </w:t>
            </w:r>
          </w:p>
        </w:tc>
      </w:tr>
      <w:tr w:rsidR="00FB7994" w:rsidRPr="00C2454A" w14:paraId="3059FAFE" w14:textId="77777777" w:rsidTr="006D70D9">
        <w:tc>
          <w:tcPr>
            <w:tcW w:w="562" w:type="dxa"/>
            <w:tcBorders>
              <w:top w:val="single" w:sz="24" w:space="0" w:color="auto"/>
            </w:tcBorders>
            <w:shd w:val="clear" w:color="auto" w:fill="FFFFFF" w:themeFill="background1"/>
            <w:vAlign w:val="center"/>
          </w:tcPr>
          <w:p w14:paraId="7B54E484" w14:textId="2910AD12" w:rsidR="00FB7994" w:rsidRPr="00C2454A"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top w:val="single" w:sz="24" w:space="0" w:color="auto"/>
            </w:tcBorders>
            <w:shd w:val="clear" w:color="auto" w:fill="FFFFFF" w:themeFill="background1"/>
            <w:vAlign w:val="center"/>
          </w:tcPr>
          <w:p w14:paraId="02CF951E"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RCL</w:t>
            </w:r>
          </w:p>
        </w:tc>
        <w:tc>
          <w:tcPr>
            <w:tcW w:w="1394" w:type="dxa"/>
            <w:tcBorders>
              <w:top w:val="single" w:sz="24" w:space="0" w:color="auto"/>
            </w:tcBorders>
            <w:shd w:val="clear" w:color="auto" w:fill="FFFFFF" w:themeFill="background1"/>
            <w:vAlign w:val="center"/>
          </w:tcPr>
          <w:p w14:paraId="7098486F"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3 </w:t>
            </w:r>
          </w:p>
          <w:p w14:paraId="1D1FAE6F"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 pkt 4</w:t>
            </w:r>
          </w:p>
        </w:tc>
        <w:tc>
          <w:tcPr>
            <w:tcW w:w="6897" w:type="dxa"/>
            <w:tcBorders>
              <w:top w:val="single" w:sz="24" w:space="0" w:color="auto"/>
            </w:tcBorders>
            <w:shd w:val="clear" w:color="auto" w:fill="FFFFFF" w:themeFill="background1"/>
          </w:tcPr>
          <w:p w14:paraId="6373964A" w14:textId="7787DF78" w:rsidR="00FB7994" w:rsidRPr="00C2454A" w:rsidRDefault="00FB7994" w:rsidP="001551E7">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należy przywołać przepisy rozporządzenia </w:t>
            </w:r>
            <w:r w:rsidRPr="00F27A05">
              <w:rPr>
                <w:rFonts w:ascii="Times New Roman" w:eastAsia="Times New Roman" w:hAnsi="Times New Roman" w:cs="Times New Roman"/>
                <w:lang w:eastAsia="pl-PL"/>
              </w:rPr>
              <w:t>2018/1862, które regulują warunki będące podstawą odmowy wjazdu i pobytu cudzoziemców</w:t>
            </w:r>
          </w:p>
        </w:tc>
        <w:tc>
          <w:tcPr>
            <w:tcW w:w="5128" w:type="dxa"/>
            <w:tcBorders>
              <w:top w:val="single" w:sz="24" w:space="0" w:color="auto"/>
            </w:tcBorders>
            <w:shd w:val="clear" w:color="auto" w:fill="FFFFFF" w:themeFill="background1"/>
          </w:tcPr>
          <w:p w14:paraId="770E61EC" w14:textId="790A17EA" w:rsidR="00F27A05" w:rsidRDefault="00F27A05"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57389286" w14:textId="42103924" w:rsidR="00534B32" w:rsidRPr="00C2454A" w:rsidRDefault="00F27A05" w:rsidP="00F27A05">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FB7994" w:rsidRPr="00C2454A">
              <w:rPr>
                <w:rFonts w:ascii="Times New Roman" w:eastAsia="Times New Roman" w:hAnsi="Times New Roman" w:cs="Times New Roman"/>
                <w:lang w:eastAsia="pl-PL"/>
              </w:rPr>
              <w:t>uwzględni</w:t>
            </w:r>
            <w:r w:rsidR="00D275BD">
              <w:rPr>
                <w:rFonts w:ascii="Times New Roman" w:eastAsia="Times New Roman" w:hAnsi="Times New Roman" w:cs="Times New Roman"/>
                <w:lang w:eastAsia="pl-PL"/>
              </w:rPr>
              <w:t>ono</w:t>
            </w:r>
            <w:r>
              <w:rPr>
                <w:rFonts w:ascii="Times New Roman" w:eastAsia="Times New Roman" w:hAnsi="Times New Roman" w:cs="Times New Roman"/>
                <w:lang w:eastAsia="pl-PL"/>
              </w:rPr>
              <w:t xml:space="preserve"> </w:t>
            </w:r>
            <w:r w:rsidR="00D275BD">
              <w:rPr>
                <w:rFonts w:ascii="Times New Roman" w:eastAsia="Times New Roman" w:hAnsi="Times New Roman" w:cs="Times New Roman"/>
                <w:lang w:eastAsia="pl-PL"/>
              </w:rPr>
              <w:t>- uzupełniono treści pkt 4 ust. 1 art. 3</w:t>
            </w:r>
            <w:r w:rsidR="00D8469F">
              <w:rPr>
                <w:rFonts w:ascii="Times New Roman" w:eastAsia="Times New Roman" w:hAnsi="Times New Roman" w:cs="Times New Roman"/>
                <w:lang w:eastAsia="pl-PL"/>
              </w:rPr>
              <w:t>:</w:t>
            </w:r>
            <w:r w:rsidR="00D275BD" w:rsidRPr="00C2454A">
              <w:rPr>
                <w:rFonts w:ascii="Times New Roman" w:eastAsia="Times New Roman" w:hAnsi="Times New Roman" w:cs="Times New Roman"/>
                <w:lang w:eastAsia="pl-PL"/>
              </w:rPr>
              <w:t xml:space="preserve"> </w:t>
            </w:r>
            <w:r w:rsidR="00FB7994" w:rsidRPr="00C2454A">
              <w:rPr>
                <w:rFonts w:ascii="Times New Roman" w:eastAsia="Times New Roman" w:hAnsi="Times New Roman" w:cs="Times New Roman"/>
                <w:lang w:eastAsia="pl-PL"/>
              </w:rPr>
              <w:t>„na warunkach określonych w art.</w:t>
            </w:r>
            <w:r w:rsidR="005F1399">
              <w:rPr>
                <w:rFonts w:ascii="Times New Roman" w:eastAsia="Times New Roman" w:hAnsi="Times New Roman" w:cs="Times New Roman"/>
                <w:lang w:eastAsia="pl-PL"/>
              </w:rPr>
              <w:t xml:space="preserve"> 24 rozporządzenia 2018/1861</w:t>
            </w:r>
            <w:r w:rsidR="00FB7994" w:rsidRPr="00C2454A">
              <w:rPr>
                <w:rFonts w:ascii="Times New Roman" w:eastAsia="Times New Roman" w:hAnsi="Times New Roman" w:cs="Times New Roman"/>
                <w:lang w:eastAsia="pl-PL"/>
              </w:rPr>
              <w:t>”</w:t>
            </w:r>
            <w:r w:rsidR="00E71FCB">
              <w:rPr>
                <w:rFonts w:ascii="Times New Roman" w:eastAsia="Times New Roman" w:hAnsi="Times New Roman" w:cs="Times New Roman"/>
                <w:lang w:eastAsia="pl-PL"/>
              </w:rPr>
              <w:t xml:space="preserve"> - </w:t>
            </w:r>
            <w:r w:rsidR="00D275BD">
              <w:rPr>
                <w:rFonts w:ascii="Times New Roman" w:eastAsia="Times New Roman" w:hAnsi="Times New Roman" w:cs="Times New Roman"/>
                <w:lang w:eastAsia="pl-PL"/>
              </w:rPr>
              <w:t xml:space="preserve">przy uwzględnieniu omyłki w zakresie wskazanego </w:t>
            </w:r>
            <w:r w:rsidR="00DE54D9">
              <w:rPr>
                <w:rFonts w:ascii="Times New Roman" w:eastAsia="Times New Roman" w:hAnsi="Times New Roman" w:cs="Times New Roman"/>
                <w:lang w:eastAsia="pl-PL"/>
              </w:rPr>
              <w:t xml:space="preserve">w uwadze </w:t>
            </w:r>
            <w:r w:rsidR="00D275BD">
              <w:rPr>
                <w:rFonts w:ascii="Times New Roman" w:eastAsia="Times New Roman" w:hAnsi="Times New Roman" w:cs="Times New Roman"/>
                <w:lang w:eastAsia="pl-PL"/>
              </w:rPr>
              <w:t>numeru rozporządzenia</w:t>
            </w:r>
            <w:r>
              <w:rPr>
                <w:rFonts w:ascii="Times New Roman" w:eastAsia="Times New Roman" w:hAnsi="Times New Roman" w:cs="Times New Roman"/>
                <w:lang w:eastAsia="pl-PL"/>
              </w:rPr>
              <w:t xml:space="preserve">; </w:t>
            </w:r>
            <w:r w:rsidR="00534B32">
              <w:rPr>
                <w:rFonts w:ascii="Times New Roman" w:eastAsia="Times New Roman" w:hAnsi="Times New Roman" w:cs="Times New Roman"/>
                <w:lang w:eastAsia="pl-PL"/>
              </w:rPr>
              <w:t>dokonano korekty uzasadnienia projektu</w:t>
            </w:r>
          </w:p>
        </w:tc>
      </w:tr>
      <w:tr w:rsidR="00FB7994" w:rsidRPr="00C2454A" w14:paraId="6C27BEC4" w14:textId="77777777" w:rsidTr="006D70D9">
        <w:tc>
          <w:tcPr>
            <w:tcW w:w="562" w:type="dxa"/>
            <w:shd w:val="clear" w:color="auto" w:fill="FFFFFF" w:themeFill="background1"/>
            <w:vAlign w:val="center"/>
          </w:tcPr>
          <w:p w14:paraId="06FEB3B9" w14:textId="7DCF9996" w:rsidR="00FB7994" w:rsidRPr="00C2454A"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744184B0"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RCL</w:t>
            </w:r>
          </w:p>
        </w:tc>
        <w:tc>
          <w:tcPr>
            <w:tcW w:w="1394" w:type="dxa"/>
            <w:shd w:val="clear" w:color="auto" w:fill="FFFFFF" w:themeFill="background1"/>
            <w:vAlign w:val="center"/>
          </w:tcPr>
          <w:p w14:paraId="108C54E4"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3 </w:t>
            </w:r>
          </w:p>
          <w:p w14:paraId="72A17987"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 pkt 5</w:t>
            </w:r>
          </w:p>
        </w:tc>
        <w:tc>
          <w:tcPr>
            <w:tcW w:w="6897" w:type="dxa"/>
            <w:shd w:val="clear" w:color="auto" w:fill="FFFFFF" w:themeFill="background1"/>
          </w:tcPr>
          <w:p w14:paraId="37C033EB" w14:textId="1B8F6E04" w:rsidR="00FB7994" w:rsidRPr="00C2454A" w:rsidRDefault="00FB7994" w:rsidP="001551E7">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należy przywołać przepisy rozporządzenia 2018/1860, które re</w:t>
            </w:r>
            <w:r w:rsidRPr="00F27A05">
              <w:rPr>
                <w:rFonts w:ascii="Times New Roman" w:eastAsia="Times New Roman" w:hAnsi="Times New Roman" w:cs="Times New Roman"/>
                <w:lang w:eastAsia="pl-PL"/>
              </w:rPr>
              <w:t>gulują zasady powrotu cudzoziemców</w:t>
            </w:r>
          </w:p>
        </w:tc>
        <w:tc>
          <w:tcPr>
            <w:tcW w:w="5128" w:type="dxa"/>
            <w:shd w:val="clear" w:color="auto" w:fill="FFFFFF" w:themeFill="background1"/>
          </w:tcPr>
          <w:p w14:paraId="036CE037" w14:textId="14A311BD" w:rsidR="00F27A05" w:rsidRDefault="00F27A05"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312DCB03" w14:textId="5966AC60" w:rsidR="00FB7994" w:rsidRDefault="00F27A05" w:rsidP="009E33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uwagę u</w:t>
            </w:r>
            <w:r w:rsidR="005F1399">
              <w:rPr>
                <w:rFonts w:ascii="Times New Roman" w:eastAsia="Times New Roman" w:hAnsi="Times New Roman" w:cs="Times New Roman"/>
                <w:lang w:eastAsia="pl-PL"/>
              </w:rPr>
              <w:t>względniono</w:t>
            </w:r>
            <w:r>
              <w:rPr>
                <w:rFonts w:ascii="Times New Roman" w:eastAsia="Times New Roman" w:hAnsi="Times New Roman" w:cs="Times New Roman"/>
                <w:lang w:eastAsia="pl-PL"/>
              </w:rPr>
              <w:t xml:space="preserve"> </w:t>
            </w:r>
            <w:r w:rsidR="005F1399">
              <w:rPr>
                <w:rFonts w:ascii="Times New Roman" w:eastAsia="Times New Roman" w:hAnsi="Times New Roman" w:cs="Times New Roman"/>
                <w:lang w:eastAsia="pl-PL"/>
              </w:rPr>
              <w:t>- uzupełniono treść pkt 5 ust. 1 art. 3: „na zasadach określonych w art. 3 rozporządzenia</w:t>
            </w:r>
            <w:r w:rsidR="005F1399" w:rsidRPr="00C2454A">
              <w:rPr>
                <w:rFonts w:ascii="Times New Roman" w:eastAsia="Times New Roman" w:hAnsi="Times New Roman" w:cs="Times New Roman"/>
                <w:lang w:eastAsia="pl-PL"/>
              </w:rPr>
              <w:t xml:space="preserve"> 2018/1860</w:t>
            </w:r>
            <w:r w:rsidR="005F1399">
              <w:rPr>
                <w:rFonts w:ascii="Times New Roman" w:eastAsia="Times New Roman" w:hAnsi="Times New Roman" w:cs="Times New Roman"/>
                <w:lang w:eastAsia="pl-PL"/>
              </w:rPr>
              <w:t>”</w:t>
            </w:r>
            <w:r w:rsidR="00DE54D9">
              <w:rPr>
                <w:rFonts w:ascii="Times New Roman" w:eastAsia="Times New Roman" w:hAnsi="Times New Roman" w:cs="Times New Roman"/>
                <w:lang w:eastAsia="pl-PL"/>
              </w:rPr>
              <w:t xml:space="preserve"> (w uzasadnieniu art. 3 powołany został pierwotnie)</w:t>
            </w:r>
          </w:p>
          <w:p w14:paraId="54D435FB" w14:textId="59561EC2" w:rsidR="00B24081" w:rsidRPr="00C2454A" w:rsidRDefault="00B24081" w:rsidP="009E33E3">
            <w:pPr>
              <w:spacing w:after="0" w:line="276" w:lineRule="auto"/>
              <w:jc w:val="both"/>
              <w:rPr>
                <w:rFonts w:ascii="Times New Roman" w:eastAsia="Times New Roman" w:hAnsi="Times New Roman" w:cs="Times New Roman"/>
                <w:lang w:eastAsia="pl-PL"/>
              </w:rPr>
            </w:pPr>
          </w:p>
        </w:tc>
      </w:tr>
      <w:tr w:rsidR="00FB7994" w:rsidRPr="00C2454A" w14:paraId="4238C1DA" w14:textId="77777777" w:rsidTr="006D70D9">
        <w:tc>
          <w:tcPr>
            <w:tcW w:w="562" w:type="dxa"/>
            <w:shd w:val="clear" w:color="auto" w:fill="FFFFFF" w:themeFill="background1"/>
            <w:vAlign w:val="center"/>
          </w:tcPr>
          <w:p w14:paraId="4BCE4436" w14:textId="02E2520F" w:rsidR="00FB7994" w:rsidRPr="00C2454A"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431BB1BF" w14:textId="6C34FB84" w:rsidR="00FB7994" w:rsidRPr="00C2454A" w:rsidRDefault="00AE0D47"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RCL</w:t>
            </w:r>
          </w:p>
        </w:tc>
        <w:tc>
          <w:tcPr>
            <w:tcW w:w="1394" w:type="dxa"/>
            <w:shd w:val="clear" w:color="auto" w:fill="FFFFFF" w:themeFill="background1"/>
            <w:vAlign w:val="center"/>
          </w:tcPr>
          <w:p w14:paraId="187EB5F8"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3 </w:t>
            </w:r>
          </w:p>
          <w:p w14:paraId="5017ACCE"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ust. 1 pkt 15 </w:t>
            </w:r>
          </w:p>
          <w:p w14:paraId="374D4024"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  art. 4 </w:t>
            </w:r>
          </w:p>
          <w:p w14:paraId="29A26EBC"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 pkt 16</w:t>
            </w:r>
          </w:p>
        </w:tc>
        <w:tc>
          <w:tcPr>
            <w:tcW w:w="6897" w:type="dxa"/>
            <w:shd w:val="clear" w:color="auto" w:fill="FFFFFF" w:themeFill="background1"/>
          </w:tcPr>
          <w:p w14:paraId="577EEAFA" w14:textId="198EDA52" w:rsidR="00FB7994" w:rsidRPr="00C2454A" w:rsidRDefault="00FB7994" w:rsidP="00F070F7">
            <w:pPr>
              <w:spacing w:after="0" w:line="276" w:lineRule="auto"/>
              <w:jc w:val="both"/>
              <w:rPr>
                <w:rFonts w:ascii="Times New Roman" w:eastAsia="Times New Roman" w:hAnsi="Times New Roman" w:cs="Times New Roman"/>
                <w:lang w:eastAsia="pl-PL"/>
              </w:rPr>
            </w:pPr>
            <w:r w:rsidRPr="00F27A05">
              <w:rPr>
                <w:rFonts w:ascii="Times New Roman" w:eastAsia="Times New Roman" w:hAnsi="Times New Roman" w:cs="Times New Roman"/>
                <w:lang w:eastAsia="pl-PL"/>
              </w:rPr>
              <w:t>wymaga doprecyzowania warunek ustawowy</w:t>
            </w:r>
            <w:r w:rsidRPr="00C2454A">
              <w:rPr>
                <w:rFonts w:ascii="Times New Roman" w:eastAsia="Times New Roman" w:hAnsi="Times New Roman" w:cs="Times New Roman"/>
                <w:lang w:eastAsia="pl-PL"/>
              </w:rPr>
              <w:t xml:space="preserve"> dot. wprowadzenia do SIS danych daktyloskopijnych nieznanego sprawcy poprzez zastosowanie formuły zbliżonej do przesłanki wskazanej w przepisach UE, tj. wg obecnego brzmienia projektu realizacja uprawnienia przysługuje, gdy zachodzi „</w:t>
            </w:r>
            <w:r w:rsidRPr="006D70D9">
              <w:rPr>
                <w:rFonts w:ascii="Times New Roman" w:eastAsia="Times New Roman" w:hAnsi="Times New Roman" w:cs="Times New Roman"/>
                <w:lang w:eastAsia="pl-PL"/>
              </w:rPr>
              <w:t>prawdopodobieństwo”, że dane te należą do sprawcy – podczas gdy w motywie 23 preambuły rozporządzenia 2018/1862 wskazano, że warunkiem jest, że z „bardzo dużym prawdopodobieństwem” właściciela tych danych będzie można zidentyfikować jako sprawcę</w:t>
            </w:r>
            <w:r w:rsidRPr="00C2454A">
              <w:rPr>
                <w:rFonts w:ascii="Times New Roman" w:eastAsia="Times New Roman" w:hAnsi="Times New Roman" w:cs="Times New Roman"/>
                <w:lang w:eastAsia="pl-PL"/>
              </w:rPr>
              <w:t xml:space="preserve"> poważnego przestępstwa lub aktu terrorystycznego</w:t>
            </w:r>
          </w:p>
        </w:tc>
        <w:tc>
          <w:tcPr>
            <w:tcW w:w="5128" w:type="dxa"/>
            <w:shd w:val="clear" w:color="auto" w:fill="FFFFFF" w:themeFill="background1"/>
          </w:tcPr>
          <w:p w14:paraId="04931B91" w14:textId="25C668F3" w:rsidR="005E5C4F" w:rsidRDefault="005E5C4F"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70CEA264" w14:textId="32AA384F" w:rsidR="005C71A6" w:rsidRPr="00C2454A" w:rsidRDefault="005E5C4F"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904B99">
              <w:rPr>
                <w:rFonts w:ascii="Times New Roman" w:eastAsia="Times New Roman" w:hAnsi="Times New Roman" w:cs="Times New Roman"/>
                <w:lang w:eastAsia="pl-PL"/>
              </w:rPr>
              <w:t>uwzględniono</w:t>
            </w:r>
            <w:r>
              <w:rPr>
                <w:rFonts w:ascii="Times New Roman" w:eastAsia="Times New Roman" w:hAnsi="Times New Roman" w:cs="Times New Roman"/>
                <w:lang w:eastAsia="pl-PL"/>
              </w:rPr>
              <w:t xml:space="preserve"> </w:t>
            </w:r>
            <w:r w:rsidR="00904B99">
              <w:rPr>
                <w:rFonts w:ascii="Times New Roman" w:eastAsia="Times New Roman" w:hAnsi="Times New Roman" w:cs="Times New Roman"/>
                <w:lang w:eastAsia="pl-PL"/>
              </w:rPr>
              <w:t>- we wskazanych przepisach przesłankę dopr</w:t>
            </w:r>
            <w:r w:rsidR="00543DCF">
              <w:rPr>
                <w:rFonts w:ascii="Times New Roman" w:eastAsia="Times New Roman" w:hAnsi="Times New Roman" w:cs="Times New Roman"/>
                <w:lang w:eastAsia="pl-PL"/>
              </w:rPr>
              <w:t xml:space="preserve">ecyzowano określeniem „wysokie”; </w:t>
            </w:r>
            <w:r w:rsidR="005C71A6">
              <w:rPr>
                <w:rFonts w:ascii="Times New Roman" w:eastAsia="Times New Roman" w:hAnsi="Times New Roman" w:cs="Times New Roman"/>
                <w:lang w:eastAsia="pl-PL"/>
              </w:rPr>
              <w:t>dokonano korekty uzasadnienia projektu</w:t>
            </w:r>
            <w:r w:rsidR="00920923">
              <w:rPr>
                <w:rFonts w:ascii="Times New Roman" w:eastAsia="Times New Roman" w:hAnsi="Times New Roman" w:cs="Times New Roman"/>
                <w:lang w:eastAsia="pl-PL"/>
              </w:rPr>
              <w:t xml:space="preserve"> i OSR</w:t>
            </w:r>
          </w:p>
        </w:tc>
      </w:tr>
      <w:tr w:rsidR="00FB7994" w:rsidRPr="00C2454A" w14:paraId="4C69C46E" w14:textId="77777777" w:rsidTr="00C67CDA">
        <w:tc>
          <w:tcPr>
            <w:tcW w:w="562" w:type="dxa"/>
            <w:shd w:val="clear" w:color="auto" w:fill="auto"/>
            <w:vAlign w:val="center"/>
          </w:tcPr>
          <w:p w14:paraId="46706E03" w14:textId="1A954279" w:rsidR="00FB7994" w:rsidRPr="00C67CDA"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62394D44" w14:textId="5FCD90B3" w:rsidR="00FB7994" w:rsidRPr="00C2454A" w:rsidRDefault="00AE0D47"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RCL</w:t>
            </w:r>
          </w:p>
        </w:tc>
        <w:tc>
          <w:tcPr>
            <w:tcW w:w="1394" w:type="dxa"/>
            <w:shd w:val="clear" w:color="auto" w:fill="auto"/>
            <w:vAlign w:val="center"/>
          </w:tcPr>
          <w:p w14:paraId="4B562449" w14:textId="556FA7BD"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4 ust. 7</w:t>
            </w:r>
          </w:p>
        </w:tc>
        <w:tc>
          <w:tcPr>
            <w:tcW w:w="6897" w:type="dxa"/>
            <w:shd w:val="clear" w:color="auto" w:fill="auto"/>
          </w:tcPr>
          <w:p w14:paraId="52040443" w14:textId="6520D81B" w:rsidR="00FB7994" w:rsidRPr="00076873" w:rsidRDefault="00FB7994" w:rsidP="00C019E3">
            <w:pPr>
              <w:spacing w:after="0" w:line="276" w:lineRule="auto"/>
              <w:jc w:val="both"/>
              <w:rPr>
                <w:rFonts w:ascii="Times New Roman" w:eastAsia="Times New Roman" w:hAnsi="Times New Roman" w:cs="Times New Roman"/>
                <w:lang w:eastAsia="pl-PL"/>
              </w:rPr>
            </w:pPr>
            <w:r w:rsidRPr="00076873">
              <w:rPr>
                <w:rFonts w:ascii="Times New Roman" w:eastAsia="Times New Roman" w:hAnsi="Times New Roman" w:cs="Times New Roman"/>
                <w:lang w:eastAsia="pl-PL"/>
              </w:rPr>
              <w:t>wymaga wykreślenia delegacja ustawowa w zakresie dot.:</w:t>
            </w:r>
          </w:p>
          <w:p w14:paraId="4F034C28" w14:textId="6E16FBE1" w:rsidR="00FB7994" w:rsidRPr="00076873" w:rsidRDefault="00FB7994" w:rsidP="009D419D">
            <w:pPr>
              <w:spacing w:after="0" w:line="276" w:lineRule="auto"/>
              <w:jc w:val="both"/>
              <w:rPr>
                <w:rFonts w:ascii="Times New Roman" w:eastAsia="Times New Roman" w:hAnsi="Times New Roman" w:cs="Times New Roman"/>
                <w:lang w:eastAsia="pl-PL"/>
              </w:rPr>
            </w:pPr>
            <w:r w:rsidRPr="00076873">
              <w:rPr>
                <w:rFonts w:ascii="Times New Roman" w:eastAsia="Times New Roman" w:hAnsi="Times New Roman" w:cs="Times New Roman"/>
                <w:lang w:eastAsia="pl-PL"/>
              </w:rPr>
              <w:t>1) obowiązków Policji związanych z trybem przekazywania Policji osób lub przedmiotów odnalezionych na skutek wglądu do danych SIS</w:t>
            </w:r>
          </w:p>
          <w:p w14:paraId="4EB6A01E" w14:textId="54299F62" w:rsidR="00FB7994" w:rsidRPr="00076873" w:rsidRDefault="00FB7994" w:rsidP="009D419D">
            <w:pPr>
              <w:spacing w:after="0" w:line="276" w:lineRule="auto"/>
              <w:jc w:val="both"/>
              <w:rPr>
                <w:rFonts w:ascii="Times New Roman" w:eastAsia="Times New Roman" w:hAnsi="Times New Roman" w:cs="Times New Roman"/>
                <w:lang w:eastAsia="pl-PL"/>
              </w:rPr>
            </w:pPr>
            <w:r w:rsidRPr="00076873">
              <w:rPr>
                <w:rFonts w:ascii="Times New Roman" w:eastAsia="Times New Roman" w:hAnsi="Times New Roman" w:cs="Times New Roman"/>
                <w:lang w:eastAsia="pl-PL"/>
              </w:rPr>
              <w:t>2) zakresu wymiany informacji uzupełniających przy określaniu sposobu i trybu współpracy organów uprawnionych z centralnym biurem technicznym Krajowego Systemu Informatycznego, zwanego dalej „KSI”</w:t>
            </w:r>
            <w:r w:rsidRPr="00076873">
              <w:rPr>
                <w:rFonts w:ascii="Times New Roman" w:eastAsia="Times New Roman" w:hAnsi="Times New Roman" w:cs="Times New Roman"/>
                <w:lang w:eastAsia="pl-PL"/>
              </w:rPr>
              <w:cr/>
              <w:t>oraz analizy i ew. uzupełnienia w ww. zakresie samego projektu ustawy</w:t>
            </w:r>
          </w:p>
          <w:p w14:paraId="42BAE4A7" w14:textId="5D6C01BD" w:rsidR="00FB7994" w:rsidRPr="00C2454A" w:rsidRDefault="00FB7994" w:rsidP="00F070F7">
            <w:pPr>
              <w:spacing w:after="0" w:line="276" w:lineRule="auto"/>
              <w:jc w:val="both"/>
              <w:rPr>
                <w:rFonts w:ascii="Times New Roman" w:eastAsia="Times New Roman" w:hAnsi="Times New Roman" w:cs="Times New Roman"/>
                <w:lang w:eastAsia="pl-PL"/>
              </w:rPr>
            </w:pPr>
            <w:r w:rsidRPr="00076873">
              <w:rPr>
                <w:rFonts w:ascii="Times New Roman" w:eastAsia="Times New Roman" w:hAnsi="Times New Roman" w:cs="Times New Roman"/>
                <w:lang w:eastAsia="pl-PL"/>
              </w:rPr>
              <w:t>U: obowiązki nakładane na Policję i zakres wymiany informacji uzupełniających stanowią materię ustawową</w:t>
            </w:r>
          </w:p>
        </w:tc>
        <w:tc>
          <w:tcPr>
            <w:tcW w:w="5128" w:type="dxa"/>
            <w:shd w:val="clear" w:color="auto" w:fill="auto"/>
          </w:tcPr>
          <w:p w14:paraId="44D32A58" w14:textId="523536D5" w:rsidR="00076873" w:rsidRDefault="00076873" w:rsidP="00773BC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 – w tym uzgodniono konieczność zmiany zapisu „przepisów odrębnych” na „ustawę o Policji”;</w:t>
            </w:r>
          </w:p>
          <w:p w14:paraId="57E2A7FC" w14:textId="05CA81B4" w:rsidR="00D5018C" w:rsidRDefault="00076873" w:rsidP="00773BC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D5018C">
              <w:rPr>
                <w:rFonts w:ascii="Times New Roman" w:eastAsia="Times New Roman" w:hAnsi="Times New Roman" w:cs="Times New Roman"/>
                <w:lang w:eastAsia="pl-PL"/>
              </w:rPr>
              <w:t>uwzględniono</w:t>
            </w:r>
            <w:r>
              <w:rPr>
                <w:rFonts w:ascii="Times New Roman" w:eastAsia="Times New Roman" w:hAnsi="Times New Roman" w:cs="Times New Roman"/>
                <w:lang w:eastAsia="pl-PL"/>
              </w:rPr>
              <w:t xml:space="preserve"> </w:t>
            </w:r>
            <w:r w:rsidR="00D5018C">
              <w:rPr>
                <w:rFonts w:ascii="Times New Roman" w:eastAsia="Times New Roman" w:hAnsi="Times New Roman" w:cs="Times New Roman"/>
                <w:lang w:eastAsia="pl-PL"/>
              </w:rPr>
              <w:t xml:space="preserve">- usunięto </w:t>
            </w:r>
            <w:r w:rsidR="00516DED">
              <w:rPr>
                <w:rFonts w:ascii="Times New Roman" w:eastAsia="Times New Roman" w:hAnsi="Times New Roman" w:cs="Times New Roman"/>
                <w:lang w:eastAsia="pl-PL"/>
              </w:rPr>
              <w:t>z zakresu przedmiotowego delegacji ustawowej możliwość uregulowania obowiązków Policji oraz zakresu wymiany informacji uzupełniających</w:t>
            </w:r>
          </w:p>
          <w:p w14:paraId="33AFFADD" w14:textId="03E7C151" w:rsidR="00D5018C" w:rsidRDefault="00516DED" w:rsidP="00773BC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 art. 4 dodano ust. 7 określający obowiązki Policji oraz </w:t>
            </w:r>
            <w:r w:rsidR="00D5018C" w:rsidRPr="0075531D">
              <w:rPr>
                <w:rFonts w:ascii="Times New Roman" w:eastAsia="Times New Roman" w:hAnsi="Times New Roman" w:cs="Times New Roman"/>
                <w:lang w:eastAsia="pl-PL"/>
              </w:rPr>
              <w:t xml:space="preserve">uzupełniono ust. 6 art. 4 dookreślając obowiązki organów związanych z „trafieniem” (vide uwaga </w:t>
            </w:r>
            <w:r w:rsidRPr="0075531D">
              <w:rPr>
                <w:rFonts w:ascii="Times New Roman" w:eastAsia="Times New Roman" w:hAnsi="Times New Roman" w:cs="Times New Roman"/>
                <w:lang w:eastAsia="pl-PL"/>
              </w:rPr>
              <w:t xml:space="preserve">RCL </w:t>
            </w:r>
            <w:r w:rsidR="00D5018C" w:rsidRPr="0075531D">
              <w:rPr>
                <w:rFonts w:ascii="Times New Roman" w:eastAsia="Times New Roman" w:hAnsi="Times New Roman" w:cs="Times New Roman"/>
                <w:lang w:eastAsia="pl-PL"/>
              </w:rPr>
              <w:t>nr 12)</w:t>
            </w:r>
            <w:r w:rsidR="00D5018C">
              <w:rPr>
                <w:rFonts w:ascii="Times New Roman" w:eastAsia="Times New Roman" w:hAnsi="Times New Roman" w:cs="Times New Roman"/>
                <w:lang w:eastAsia="pl-PL"/>
              </w:rPr>
              <w:t xml:space="preserve"> </w:t>
            </w:r>
          </w:p>
          <w:p w14:paraId="500F8AC0" w14:textId="61991CCF" w:rsidR="00516DED" w:rsidRDefault="00516DED" w:rsidP="00773BC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 zakresie odnoszącym się do informacji uzupełniających dokonano zmiany treści delegacji – upoważniając do unormowania w akcie wykonawczym </w:t>
            </w:r>
            <w:r w:rsidRPr="00516DED">
              <w:rPr>
                <w:rFonts w:ascii="Times New Roman" w:eastAsia="Times New Roman" w:hAnsi="Times New Roman" w:cs="Times New Roman"/>
                <w:lang w:eastAsia="pl-PL"/>
              </w:rPr>
              <w:t>procedur</w:t>
            </w:r>
            <w:r>
              <w:rPr>
                <w:rFonts w:ascii="Times New Roman" w:eastAsia="Times New Roman" w:hAnsi="Times New Roman" w:cs="Times New Roman"/>
                <w:lang w:eastAsia="pl-PL"/>
              </w:rPr>
              <w:t>y</w:t>
            </w:r>
            <w:r w:rsidRPr="00516DED">
              <w:rPr>
                <w:rFonts w:ascii="Times New Roman" w:eastAsia="Times New Roman" w:hAnsi="Times New Roman" w:cs="Times New Roman"/>
                <w:lang w:eastAsia="pl-PL"/>
              </w:rPr>
              <w:t xml:space="preserve"> wymiany informacji uzupełniających </w:t>
            </w:r>
            <w:r>
              <w:rPr>
                <w:rFonts w:ascii="Times New Roman" w:eastAsia="Times New Roman" w:hAnsi="Times New Roman" w:cs="Times New Roman"/>
                <w:lang w:eastAsia="pl-PL"/>
              </w:rPr>
              <w:t>między organami a biurem SIRENE „</w:t>
            </w:r>
            <w:r w:rsidRPr="00516DED">
              <w:rPr>
                <w:rFonts w:ascii="Times New Roman" w:eastAsia="Times New Roman" w:hAnsi="Times New Roman" w:cs="Times New Roman"/>
                <w:lang w:eastAsia="pl-PL"/>
              </w:rPr>
              <w:t>zgodnie z zakre</w:t>
            </w:r>
            <w:r>
              <w:rPr>
                <w:rFonts w:ascii="Times New Roman" w:eastAsia="Times New Roman" w:hAnsi="Times New Roman" w:cs="Times New Roman"/>
                <w:lang w:eastAsia="pl-PL"/>
              </w:rPr>
              <w:t xml:space="preserve">sem określonym w </w:t>
            </w:r>
            <w:r w:rsidRPr="00516DED">
              <w:rPr>
                <w:rFonts w:ascii="Times New Roman" w:eastAsia="Times New Roman" w:hAnsi="Times New Roman" w:cs="Times New Roman"/>
                <w:u w:val="single"/>
                <w:lang w:eastAsia="pl-PL"/>
              </w:rPr>
              <w:t>art. 37 ust. 2 ustawy</w:t>
            </w:r>
            <w:r>
              <w:rPr>
                <w:rFonts w:ascii="Times New Roman" w:eastAsia="Times New Roman" w:hAnsi="Times New Roman" w:cs="Times New Roman"/>
                <w:lang w:eastAsia="pl-PL"/>
              </w:rPr>
              <w:t>”</w:t>
            </w:r>
            <w:r w:rsidRPr="00516DED">
              <w:rPr>
                <w:rFonts w:ascii="Times New Roman" w:eastAsia="Times New Roman" w:hAnsi="Times New Roman" w:cs="Times New Roman"/>
                <w:lang w:eastAsia="pl-PL"/>
              </w:rPr>
              <w:t xml:space="preserve"> </w:t>
            </w:r>
          </w:p>
          <w:p w14:paraId="49F30D83" w14:textId="0F452C89" w:rsidR="00516DED" w:rsidRDefault="00C67CDA" w:rsidP="00773BC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w art. 37 ust. 2 ustawy zakres informacji uzupełniających został doprecyzowany przez odniesienie do odpowiednich aktów wykonawczych KE, które szczegółowo ww. materię regulują</w:t>
            </w:r>
          </w:p>
          <w:p w14:paraId="17990750" w14:textId="753F5F62" w:rsidR="00D5018C" w:rsidRDefault="00D5018C" w:rsidP="00773BC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5B1792">
              <w:rPr>
                <w:rFonts w:ascii="Times New Roman" w:eastAsia="Times New Roman" w:hAnsi="Times New Roman" w:cs="Times New Roman"/>
                <w:lang w:eastAsia="pl-PL"/>
              </w:rPr>
              <w:t>dokonano korekty uzasadnienia projektu</w:t>
            </w:r>
          </w:p>
          <w:p w14:paraId="1275CDED" w14:textId="6BCA4568" w:rsidR="007E4776" w:rsidRPr="00773BCC" w:rsidRDefault="007E4776" w:rsidP="00B57393">
            <w:pPr>
              <w:spacing w:after="0" w:line="276" w:lineRule="auto"/>
              <w:jc w:val="both"/>
              <w:rPr>
                <w:rFonts w:ascii="Times New Roman" w:eastAsia="Times New Roman" w:hAnsi="Times New Roman" w:cs="Times New Roman"/>
                <w:lang w:eastAsia="pl-PL"/>
              </w:rPr>
            </w:pPr>
          </w:p>
        </w:tc>
      </w:tr>
      <w:tr w:rsidR="00FB7994" w:rsidRPr="00C2454A" w14:paraId="49853EED" w14:textId="77777777" w:rsidTr="0097351C">
        <w:tc>
          <w:tcPr>
            <w:tcW w:w="562" w:type="dxa"/>
            <w:shd w:val="clear" w:color="auto" w:fill="auto"/>
            <w:vAlign w:val="center"/>
          </w:tcPr>
          <w:p w14:paraId="03165BC8" w14:textId="740C522C" w:rsidR="00FB7994" w:rsidRPr="00B9691D"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0BCBAA47" w14:textId="14BCC3C3"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RCL</w:t>
            </w:r>
          </w:p>
        </w:tc>
        <w:tc>
          <w:tcPr>
            <w:tcW w:w="1394" w:type="dxa"/>
            <w:shd w:val="clear" w:color="auto" w:fill="auto"/>
            <w:vAlign w:val="center"/>
          </w:tcPr>
          <w:p w14:paraId="384A6064"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21 </w:t>
            </w:r>
          </w:p>
          <w:p w14:paraId="1F501620" w14:textId="1860B68B"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w:t>
            </w:r>
          </w:p>
        </w:tc>
        <w:tc>
          <w:tcPr>
            <w:tcW w:w="6897" w:type="dxa"/>
            <w:shd w:val="clear" w:color="auto" w:fill="auto"/>
          </w:tcPr>
          <w:p w14:paraId="65863D6A" w14:textId="77777777" w:rsidR="00FB7994" w:rsidRPr="00C2454A" w:rsidRDefault="00FB7994" w:rsidP="009D419D">
            <w:pPr>
              <w:spacing w:after="0" w:line="276" w:lineRule="auto"/>
              <w:jc w:val="both"/>
              <w:rPr>
                <w:rFonts w:ascii="Times New Roman" w:eastAsia="Times New Roman" w:hAnsi="Times New Roman" w:cs="Times New Roman"/>
                <w:lang w:eastAsia="pl-PL"/>
              </w:rPr>
            </w:pPr>
            <w:r w:rsidRPr="0097351C">
              <w:rPr>
                <w:rFonts w:ascii="Times New Roman" w:eastAsia="Times New Roman" w:hAnsi="Times New Roman" w:cs="Times New Roman"/>
                <w:lang w:eastAsia="pl-PL"/>
              </w:rPr>
              <w:t>wymaga wykreślenia delegacja</w:t>
            </w:r>
            <w:r w:rsidRPr="00C2454A">
              <w:rPr>
                <w:rFonts w:ascii="Times New Roman" w:eastAsia="Times New Roman" w:hAnsi="Times New Roman" w:cs="Times New Roman"/>
                <w:lang w:eastAsia="pl-PL"/>
              </w:rPr>
              <w:t xml:space="preserve"> ustawowa w zakresie dot.:</w:t>
            </w:r>
          </w:p>
          <w:p w14:paraId="6984F4D5" w14:textId="69EEFB60" w:rsidR="00FB7994" w:rsidRPr="000454BA" w:rsidRDefault="00FB7994" w:rsidP="009D419D">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1/ obowiązków uprawnionych organów w związku z tworzeniem odsyłaczy </w:t>
            </w:r>
            <w:r w:rsidRPr="000454BA">
              <w:rPr>
                <w:rFonts w:ascii="Times New Roman" w:eastAsia="Times New Roman" w:hAnsi="Times New Roman" w:cs="Times New Roman"/>
                <w:lang w:eastAsia="pl-PL"/>
              </w:rPr>
              <w:t>między wpisami w SIS</w:t>
            </w:r>
          </w:p>
          <w:p w14:paraId="6151A754" w14:textId="77777777" w:rsidR="00FB7994" w:rsidRPr="000454BA" w:rsidRDefault="00FB7994" w:rsidP="0062637C">
            <w:pPr>
              <w:spacing w:after="0" w:line="276" w:lineRule="auto"/>
              <w:jc w:val="both"/>
              <w:rPr>
                <w:rFonts w:ascii="Times New Roman" w:eastAsia="Times New Roman" w:hAnsi="Times New Roman" w:cs="Times New Roman"/>
                <w:lang w:eastAsia="pl-PL"/>
              </w:rPr>
            </w:pPr>
            <w:r w:rsidRPr="000454BA">
              <w:rPr>
                <w:rFonts w:ascii="Times New Roman" w:eastAsia="Times New Roman" w:hAnsi="Times New Roman" w:cs="Times New Roman"/>
                <w:lang w:eastAsia="pl-PL"/>
              </w:rPr>
              <w:t>oraz analizy i ew. uzupełnienia w ww. zakresie samego projektu ustawy</w:t>
            </w:r>
          </w:p>
          <w:p w14:paraId="5E6D9A29" w14:textId="2FC09482" w:rsidR="00FB7994" w:rsidRPr="00C2454A" w:rsidRDefault="00FB7994" w:rsidP="0062637C">
            <w:pPr>
              <w:spacing w:after="0" w:line="276" w:lineRule="auto"/>
              <w:jc w:val="both"/>
              <w:rPr>
                <w:rFonts w:ascii="Times New Roman" w:eastAsia="Times New Roman" w:hAnsi="Times New Roman" w:cs="Times New Roman"/>
                <w:lang w:eastAsia="pl-PL"/>
              </w:rPr>
            </w:pPr>
            <w:r w:rsidRPr="000454BA">
              <w:rPr>
                <w:rFonts w:ascii="Times New Roman" w:eastAsia="Times New Roman" w:hAnsi="Times New Roman" w:cs="Times New Roman"/>
                <w:lang w:eastAsia="pl-PL"/>
              </w:rPr>
              <w:t>U:</w:t>
            </w:r>
            <w:r w:rsidRPr="0097351C">
              <w:rPr>
                <w:rFonts w:ascii="Times New Roman" w:eastAsia="Times New Roman" w:hAnsi="Times New Roman" w:cs="Times New Roman"/>
                <w:lang w:eastAsia="pl-PL"/>
              </w:rPr>
              <w:t xml:space="preserve"> wskazywanie zadań i obowiązków stanowi </w:t>
            </w:r>
            <w:r w:rsidRPr="000454BA">
              <w:rPr>
                <w:rFonts w:ascii="Times New Roman" w:eastAsia="Times New Roman" w:hAnsi="Times New Roman" w:cs="Times New Roman"/>
                <w:lang w:eastAsia="pl-PL"/>
              </w:rPr>
              <w:t>materię ustawową</w:t>
            </w:r>
          </w:p>
        </w:tc>
        <w:tc>
          <w:tcPr>
            <w:tcW w:w="5128" w:type="dxa"/>
            <w:shd w:val="clear" w:color="auto" w:fill="auto"/>
          </w:tcPr>
          <w:p w14:paraId="7F592692" w14:textId="2077192C" w:rsidR="0097351C" w:rsidRDefault="0097351C" w:rsidP="0097351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 – wskazując potrzebę uzupełnienia projektu w nw. zakresie na późniejszym etapie prac</w:t>
            </w:r>
          </w:p>
          <w:p w14:paraId="3C7E04A7" w14:textId="34C52ECC" w:rsidR="008A75C6" w:rsidRPr="00B34C0C" w:rsidRDefault="0097351C" w:rsidP="0097351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uwagę uwzględniono - usunięto z zakresu przedmiotowego delegacji ustawowej możliwość uregulowania obowiązków uprawnionych organów</w:t>
            </w:r>
          </w:p>
        </w:tc>
      </w:tr>
      <w:tr w:rsidR="00FB7994" w:rsidRPr="00C2454A" w14:paraId="6CFC0FF0" w14:textId="77777777" w:rsidTr="000454BA">
        <w:tc>
          <w:tcPr>
            <w:tcW w:w="562" w:type="dxa"/>
            <w:shd w:val="clear" w:color="auto" w:fill="auto"/>
            <w:vAlign w:val="center"/>
          </w:tcPr>
          <w:p w14:paraId="167194DA" w14:textId="1A29BD41" w:rsidR="00FB7994" w:rsidRPr="00C2454A" w:rsidRDefault="00FB799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1E681BB5" w14:textId="358F917F" w:rsidR="00FB7994" w:rsidRPr="00C2454A" w:rsidRDefault="00AE0D47"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RCL</w:t>
            </w:r>
          </w:p>
        </w:tc>
        <w:tc>
          <w:tcPr>
            <w:tcW w:w="1394" w:type="dxa"/>
            <w:shd w:val="clear" w:color="auto" w:fill="auto"/>
            <w:vAlign w:val="center"/>
          </w:tcPr>
          <w:p w14:paraId="79D0C1EA" w14:textId="77777777"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25 </w:t>
            </w:r>
          </w:p>
          <w:p w14:paraId="1AFB9E30" w14:textId="58AC2644" w:rsidR="00FB7994" w:rsidRPr="00C2454A" w:rsidRDefault="00FB799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4</w:t>
            </w:r>
          </w:p>
        </w:tc>
        <w:tc>
          <w:tcPr>
            <w:tcW w:w="6897" w:type="dxa"/>
            <w:shd w:val="clear" w:color="auto" w:fill="auto"/>
          </w:tcPr>
          <w:p w14:paraId="2E757654" w14:textId="39B79EC0" w:rsidR="00FB7994" w:rsidRPr="00D52C55" w:rsidRDefault="00FB7994" w:rsidP="009D419D">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zakres przedmiotowy </w:t>
            </w:r>
            <w:r w:rsidRPr="00D52C55">
              <w:rPr>
                <w:rFonts w:ascii="Times New Roman" w:eastAsia="Times New Roman" w:hAnsi="Times New Roman" w:cs="Times New Roman"/>
                <w:lang w:eastAsia="pl-PL"/>
              </w:rPr>
              <w:t>delegacji ustawowej wymaga analizy pod kątem kompletności treści delegacji ustawowej:</w:t>
            </w:r>
          </w:p>
          <w:p w14:paraId="1425F85C" w14:textId="12FA4E46" w:rsidR="00FB7994" w:rsidRPr="00D52C55" w:rsidRDefault="00FB7994" w:rsidP="00181A96">
            <w:pPr>
              <w:spacing w:after="0" w:line="276" w:lineRule="auto"/>
              <w:jc w:val="both"/>
              <w:rPr>
                <w:rFonts w:ascii="Times New Roman" w:eastAsia="Times New Roman" w:hAnsi="Times New Roman" w:cs="Times New Roman"/>
                <w:lang w:eastAsia="pl-PL"/>
              </w:rPr>
            </w:pPr>
            <w:r w:rsidRPr="00D52C55">
              <w:rPr>
                <w:rFonts w:ascii="Times New Roman" w:eastAsia="Times New Roman" w:hAnsi="Times New Roman" w:cs="Times New Roman"/>
                <w:lang w:eastAsia="pl-PL"/>
              </w:rPr>
              <w:t>1/ ww. zakres przewiduje wyłącznie określenie trybu dostępu do KSI – natomiast brak trybu cofania i trybu zmiany dostępu do tego systemu – konieczna analiza co do prawdopodobieństwa zajścia ww. zdarzeń</w:t>
            </w:r>
            <w:r w:rsidRPr="00D52C55">
              <w:rPr>
                <w:rFonts w:ascii="Times New Roman" w:hAnsi="Times New Roman" w:cs="Times New Roman"/>
              </w:rPr>
              <w:t xml:space="preserve"> </w:t>
            </w:r>
            <w:r w:rsidRPr="00D52C55">
              <w:rPr>
                <w:rFonts w:ascii="Times New Roman" w:eastAsia="Times New Roman" w:hAnsi="Times New Roman" w:cs="Times New Roman"/>
                <w:lang w:eastAsia="pl-PL"/>
              </w:rPr>
              <w:t>i ew. uzupełnienia;</w:t>
            </w:r>
          </w:p>
          <w:p w14:paraId="28312B61" w14:textId="27998901" w:rsidR="00FB7994" w:rsidRPr="00D52C55" w:rsidRDefault="00FB7994" w:rsidP="00181A96">
            <w:pPr>
              <w:spacing w:after="0" w:line="276" w:lineRule="auto"/>
              <w:jc w:val="both"/>
              <w:rPr>
                <w:rFonts w:ascii="Times New Roman" w:eastAsia="Times New Roman" w:hAnsi="Times New Roman" w:cs="Times New Roman"/>
                <w:lang w:eastAsia="pl-PL"/>
              </w:rPr>
            </w:pPr>
            <w:r w:rsidRPr="00D52C55">
              <w:rPr>
                <w:rFonts w:ascii="Times New Roman" w:eastAsia="Times New Roman" w:hAnsi="Times New Roman" w:cs="Times New Roman"/>
                <w:lang w:eastAsia="pl-PL"/>
              </w:rPr>
              <w:t>2/ w zakresie „sposobu prowadzenia ewidencji użytkowników końcowych oraz użytkowników indywidualnych” – obowiązująca ustawa ani projekt nie nakładają na żaden organ obowiązku prowadzenia takiej ewidencji oraz nie regulują zakresu danych wpisywanych do ewidencji – zatem konieczne uzupełnienie ww. kwestii w projekcie;</w:t>
            </w:r>
          </w:p>
          <w:p w14:paraId="57E3199B" w14:textId="0B89CEE0" w:rsidR="00FB7994" w:rsidRPr="00D52C55" w:rsidRDefault="00FB7994" w:rsidP="00181A96">
            <w:pPr>
              <w:spacing w:after="0" w:line="276" w:lineRule="auto"/>
              <w:jc w:val="both"/>
              <w:rPr>
                <w:rFonts w:ascii="Times New Roman" w:eastAsia="Times New Roman" w:hAnsi="Times New Roman" w:cs="Times New Roman"/>
                <w:lang w:eastAsia="pl-PL"/>
              </w:rPr>
            </w:pPr>
            <w:r w:rsidRPr="00D52C55">
              <w:rPr>
                <w:rFonts w:ascii="Times New Roman" w:eastAsia="Times New Roman" w:hAnsi="Times New Roman" w:cs="Times New Roman"/>
                <w:lang w:eastAsia="pl-PL"/>
              </w:rPr>
              <w:t>3/ analogicznie do pkt 2 – w zakresie „</w:t>
            </w:r>
            <w:r w:rsidRPr="00D52C55">
              <w:rPr>
                <w:rFonts w:ascii="Times New Roman" w:hAnsi="Times New Roman" w:cs="Times New Roman"/>
              </w:rPr>
              <w:t xml:space="preserve">upoważnienia do </w:t>
            </w:r>
            <w:r w:rsidRPr="00D52C55">
              <w:rPr>
                <w:rFonts w:ascii="Times New Roman" w:eastAsia="Times New Roman" w:hAnsi="Times New Roman" w:cs="Times New Roman"/>
                <w:lang w:eastAsia="pl-PL"/>
              </w:rPr>
              <w:t>określenia wzorów upoważnień do dostępu do KSI oraz do przetwarzania danych przez KSI” – ustawa ani projekt nie określają zakresu danych, jakie mają zawierać wzory tych upoważnień, co należy poprawić;</w:t>
            </w:r>
          </w:p>
          <w:p w14:paraId="41F04A17" w14:textId="69B83A47" w:rsidR="00FB7994" w:rsidRPr="00C2454A" w:rsidRDefault="00FB7994" w:rsidP="00181A96">
            <w:pPr>
              <w:spacing w:after="0" w:line="276" w:lineRule="auto"/>
              <w:jc w:val="both"/>
              <w:rPr>
                <w:rFonts w:ascii="Times New Roman" w:eastAsia="Times New Roman" w:hAnsi="Times New Roman" w:cs="Times New Roman"/>
                <w:lang w:eastAsia="pl-PL"/>
              </w:rPr>
            </w:pPr>
            <w:r w:rsidRPr="00D52C55">
              <w:rPr>
                <w:rFonts w:ascii="Times New Roman" w:eastAsia="Times New Roman" w:hAnsi="Times New Roman" w:cs="Times New Roman"/>
                <w:lang w:eastAsia="pl-PL"/>
              </w:rPr>
              <w:t>4/ przepis należy uzupełnić o wytyczne</w:t>
            </w:r>
            <w:r w:rsidRPr="000454BA">
              <w:rPr>
                <w:rFonts w:ascii="Times New Roman" w:eastAsia="Times New Roman" w:hAnsi="Times New Roman" w:cs="Times New Roman"/>
                <w:lang w:eastAsia="pl-PL"/>
              </w:rPr>
              <w:t xml:space="preserve"> dotyczące treści aktu wykonawczego - zaproponowane w projekcie są zbyt ogólne względem zakresu spraw przekazanych do uregulowania</w:t>
            </w:r>
          </w:p>
        </w:tc>
        <w:tc>
          <w:tcPr>
            <w:tcW w:w="5128" w:type="dxa"/>
            <w:shd w:val="clear" w:color="auto" w:fill="auto"/>
          </w:tcPr>
          <w:p w14:paraId="5EFED4A9" w14:textId="2CAA998B" w:rsidR="00751904" w:rsidRDefault="00751904" w:rsidP="00712CCB">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uzgodniono – w tym w zakresie </w:t>
            </w:r>
            <w:r w:rsidR="0097351C">
              <w:rPr>
                <w:rFonts w:ascii="Times New Roman" w:eastAsia="Times New Roman" w:hAnsi="Times New Roman" w:cs="Times New Roman"/>
                <w:lang w:eastAsia="pl-PL"/>
              </w:rPr>
              <w:t xml:space="preserve">uzgodniono potrzebę </w:t>
            </w:r>
            <w:r>
              <w:rPr>
                <w:rFonts w:ascii="Times New Roman" w:eastAsia="Times New Roman" w:hAnsi="Times New Roman" w:cs="Times New Roman"/>
                <w:lang w:eastAsia="pl-PL"/>
              </w:rPr>
              <w:t>wykreślenia z zakresu delegacji ustawowej „trybu zmiany” jako realizowanej poprzez tryb dostępu i cofania dostępu; stąd też konieczność wykreślenia z aktualnej wersji projektu ww. trybu i zmiany zapisu „tryb nadania dostępu” na „tryb dostępu”; konieczność wprowadzenia dodatkowych pojęć w słowniku ustawowym ustawy oraz stworzenie otwartego katalogu danych w przypadku ewidencji użytkowników końcowych – zgodnie z ust. 5 §  9 obowiązującego w ww. zakresie rozporządzenia;</w:t>
            </w:r>
          </w:p>
          <w:p w14:paraId="6D70B026" w14:textId="43B8A0C8" w:rsidR="006222AD" w:rsidRPr="00D11B80" w:rsidRDefault="00751904" w:rsidP="00712CCB">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F13DB9">
              <w:rPr>
                <w:rFonts w:ascii="Times New Roman" w:eastAsia="Times New Roman" w:hAnsi="Times New Roman" w:cs="Times New Roman"/>
                <w:lang w:eastAsia="pl-PL"/>
              </w:rPr>
              <w:t xml:space="preserve">pierwotnie </w:t>
            </w:r>
            <w:r w:rsidR="006222AD" w:rsidRPr="00D11B80">
              <w:rPr>
                <w:rFonts w:ascii="Times New Roman" w:eastAsia="Times New Roman" w:hAnsi="Times New Roman" w:cs="Times New Roman"/>
                <w:lang w:eastAsia="pl-PL"/>
              </w:rPr>
              <w:t>uwzględniono</w:t>
            </w:r>
            <w:r w:rsidR="00F13DB9">
              <w:rPr>
                <w:rFonts w:ascii="Times New Roman" w:eastAsia="Times New Roman" w:hAnsi="Times New Roman" w:cs="Times New Roman"/>
                <w:lang w:eastAsia="pl-PL"/>
              </w:rPr>
              <w:t xml:space="preserve"> poprzez:</w:t>
            </w:r>
          </w:p>
          <w:p w14:paraId="2DA51FB0" w14:textId="77777777" w:rsidR="00751904" w:rsidRDefault="006222AD" w:rsidP="000454BA">
            <w:pPr>
              <w:spacing w:after="0" w:line="276" w:lineRule="auto"/>
              <w:rPr>
                <w:rFonts w:ascii="Times New Roman" w:eastAsia="Times New Roman" w:hAnsi="Times New Roman" w:cs="Times New Roman"/>
                <w:lang w:eastAsia="pl-PL"/>
              </w:rPr>
            </w:pPr>
            <w:r w:rsidRPr="006222AD">
              <w:rPr>
                <w:rFonts w:ascii="Times New Roman" w:eastAsia="Times New Roman" w:hAnsi="Times New Roman" w:cs="Times New Roman"/>
                <w:lang w:eastAsia="pl-PL"/>
              </w:rPr>
              <w:t>- zakres przedmiotowy delegacji ustawowej uzupełniony został o tryb cofan</w:t>
            </w:r>
            <w:r w:rsidR="00751904">
              <w:rPr>
                <w:rFonts w:ascii="Times New Roman" w:eastAsia="Times New Roman" w:hAnsi="Times New Roman" w:cs="Times New Roman"/>
                <w:lang w:eastAsia="pl-PL"/>
              </w:rPr>
              <w:t xml:space="preserve">ia i tryb zmiany dostępu do KSI; </w:t>
            </w:r>
            <w:r w:rsidR="000454BA">
              <w:rPr>
                <w:rFonts w:ascii="Times New Roman" w:eastAsia="Times New Roman" w:hAnsi="Times New Roman" w:cs="Times New Roman"/>
                <w:lang w:eastAsia="pl-PL"/>
              </w:rPr>
              <w:t>uzupełniono projekt o przypisanie obowiązku</w:t>
            </w:r>
            <w:r w:rsidR="000454BA" w:rsidRPr="00B80017">
              <w:rPr>
                <w:rFonts w:ascii="Times New Roman" w:eastAsia="Times New Roman" w:hAnsi="Times New Roman" w:cs="Times New Roman"/>
                <w:lang w:eastAsia="pl-PL"/>
              </w:rPr>
              <w:t xml:space="preserve">  </w:t>
            </w:r>
            <w:r w:rsidR="000454BA">
              <w:rPr>
                <w:rFonts w:ascii="Times New Roman" w:eastAsia="Times New Roman" w:hAnsi="Times New Roman" w:cs="Times New Roman"/>
                <w:lang w:eastAsia="pl-PL"/>
              </w:rPr>
              <w:t xml:space="preserve">prowadzenia </w:t>
            </w:r>
            <w:r w:rsidR="000454BA" w:rsidRPr="00B80017">
              <w:rPr>
                <w:rFonts w:ascii="Times New Roman" w:eastAsia="Times New Roman" w:hAnsi="Times New Roman" w:cs="Times New Roman"/>
                <w:lang w:eastAsia="pl-PL"/>
              </w:rPr>
              <w:t xml:space="preserve">ewidencji użytkowników </w:t>
            </w:r>
            <w:r w:rsidR="000454BA">
              <w:rPr>
                <w:rFonts w:ascii="Times New Roman" w:eastAsia="Times New Roman" w:hAnsi="Times New Roman" w:cs="Times New Roman"/>
                <w:lang w:eastAsia="pl-PL"/>
              </w:rPr>
              <w:t>i</w:t>
            </w:r>
            <w:r w:rsidR="000454BA" w:rsidRPr="00B80017">
              <w:rPr>
                <w:rFonts w:ascii="Times New Roman" w:eastAsia="Times New Roman" w:hAnsi="Times New Roman" w:cs="Times New Roman"/>
                <w:lang w:eastAsia="pl-PL"/>
              </w:rPr>
              <w:t xml:space="preserve">ndywidualnych </w:t>
            </w:r>
            <w:r w:rsidR="000454BA">
              <w:rPr>
                <w:rFonts w:ascii="Times New Roman" w:eastAsia="Times New Roman" w:hAnsi="Times New Roman" w:cs="Times New Roman"/>
                <w:lang w:eastAsia="pl-PL"/>
              </w:rPr>
              <w:t xml:space="preserve">COT KSI, a </w:t>
            </w:r>
            <w:r w:rsidR="000454BA" w:rsidRPr="00B80017">
              <w:rPr>
                <w:rFonts w:ascii="Times New Roman" w:eastAsia="Times New Roman" w:hAnsi="Times New Roman" w:cs="Times New Roman"/>
                <w:lang w:eastAsia="pl-PL"/>
              </w:rPr>
              <w:t xml:space="preserve"> ewi</w:t>
            </w:r>
            <w:r w:rsidR="000454BA">
              <w:rPr>
                <w:rFonts w:ascii="Times New Roman" w:eastAsia="Times New Roman" w:hAnsi="Times New Roman" w:cs="Times New Roman"/>
                <w:lang w:eastAsia="pl-PL"/>
              </w:rPr>
              <w:t xml:space="preserve">dencji użytkowników końcowych </w:t>
            </w:r>
            <w:r w:rsidR="000454BA" w:rsidRPr="00B80017">
              <w:rPr>
                <w:rFonts w:ascii="Times New Roman" w:eastAsia="Times New Roman" w:hAnsi="Times New Roman" w:cs="Times New Roman"/>
                <w:lang w:eastAsia="pl-PL"/>
              </w:rPr>
              <w:t xml:space="preserve">organom uprawnionym </w:t>
            </w:r>
            <w:r w:rsidR="000454BA">
              <w:rPr>
                <w:rFonts w:ascii="Times New Roman" w:eastAsia="Times New Roman" w:hAnsi="Times New Roman" w:cs="Times New Roman"/>
                <w:lang w:eastAsia="pl-PL"/>
              </w:rPr>
              <w:t>(</w:t>
            </w:r>
            <w:r w:rsidR="000454BA" w:rsidRPr="00B80017">
              <w:rPr>
                <w:rFonts w:ascii="Times New Roman" w:eastAsia="Times New Roman" w:hAnsi="Times New Roman" w:cs="Times New Roman"/>
                <w:lang w:eastAsia="pl-PL"/>
              </w:rPr>
              <w:t>zgodnie z dotychczasową treścią § 10 ust. 1 i 2 ww. rozporządzenia</w:t>
            </w:r>
            <w:r w:rsidR="000454BA">
              <w:rPr>
                <w:rFonts w:ascii="Times New Roman" w:eastAsia="Times New Roman" w:hAnsi="Times New Roman" w:cs="Times New Roman"/>
                <w:lang w:eastAsia="pl-PL"/>
              </w:rPr>
              <w:t>)</w:t>
            </w:r>
            <w:r w:rsidR="00751904">
              <w:rPr>
                <w:rFonts w:ascii="Times New Roman" w:eastAsia="Times New Roman" w:hAnsi="Times New Roman" w:cs="Times New Roman"/>
                <w:lang w:eastAsia="pl-PL"/>
              </w:rPr>
              <w:t xml:space="preserve">; </w:t>
            </w:r>
          </w:p>
          <w:p w14:paraId="08D5DF72" w14:textId="32BD67DF" w:rsidR="006222AD" w:rsidRDefault="00751904" w:rsidP="000454BA">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-u</w:t>
            </w:r>
            <w:r w:rsidR="000454BA">
              <w:rPr>
                <w:rFonts w:ascii="Times New Roman" w:eastAsia="Times New Roman" w:hAnsi="Times New Roman" w:cs="Times New Roman"/>
                <w:lang w:eastAsia="pl-PL"/>
              </w:rPr>
              <w:t>zupełniono projekt</w:t>
            </w:r>
            <w:r w:rsidR="000454BA" w:rsidRPr="00B80017">
              <w:rPr>
                <w:rFonts w:ascii="Times New Roman" w:eastAsia="Times New Roman" w:hAnsi="Times New Roman" w:cs="Times New Roman"/>
                <w:lang w:eastAsia="pl-PL"/>
              </w:rPr>
              <w:t xml:space="preserve"> o zakres danych </w:t>
            </w:r>
            <w:r w:rsidR="000454BA">
              <w:rPr>
                <w:rFonts w:ascii="Times New Roman" w:eastAsia="Times New Roman" w:hAnsi="Times New Roman" w:cs="Times New Roman"/>
                <w:lang w:eastAsia="pl-PL"/>
              </w:rPr>
              <w:t>objętych ww. ewidencjami</w:t>
            </w:r>
            <w:r w:rsidR="000454BA" w:rsidRPr="00B80017">
              <w:rPr>
                <w:rFonts w:ascii="Times New Roman" w:eastAsia="Times New Roman" w:hAnsi="Times New Roman" w:cs="Times New Roman"/>
                <w:lang w:eastAsia="pl-PL"/>
              </w:rPr>
              <w:t xml:space="preserve"> i </w:t>
            </w:r>
            <w:r w:rsidR="000454BA">
              <w:rPr>
                <w:rFonts w:ascii="Times New Roman" w:eastAsia="Times New Roman" w:hAnsi="Times New Roman" w:cs="Times New Roman"/>
                <w:lang w:eastAsia="pl-PL"/>
              </w:rPr>
              <w:t>upoważnieniami</w:t>
            </w:r>
            <w:r w:rsidR="000454BA" w:rsidRPr="00B80017">
              <w:rPr>
                <w:rFonts w:ascii="Times New Roman" w:eastAsia="Times New Roman" w:hAnsi="Times New Roman" w:cs="Times New Roman"/>
                <w:lang w:eastAsia="pl-PL"/>
              </w:rPr>
              <w:t>;</w:t>
            </w:r>
          </w:p>
          <w:p w14:paraId="3C5D93CE" w14:textId="6D39B256" w:rsidR="00FB7994" w:rsidRPr="00C2454A" w:rsidRDefault="00002EA1" w:rsidP="00751904">
            <w:pPr>
              <w:spacing w:after="0" w:line="276" w:lineRule="auto"/>
              <w:jc w:val="both"/>
              <w:rPr>
                <w:rFonts w:ascii="Times New Roman" w:eastAsia="Times New Roman" w:hAnsi="Times New Roman" w:cs="Times New Roman"/>
                <w:lang w:eastAsia="pl-PL"/>
              </w:rPr>
            </w:pPr>
            <w:r w:rsidRPr="004356D4">
              <w:rPr>
                <w:rFonts w:ascii="Times New Roman" w:eastAsia="Times New Roman" w:hAnsi="Times New Roman" w:cs="Times New Roman"/>
                <w:lang w:eastAsia="pl-PL"/>
              </w:rPr>
              <w:t>- zmodyfikowano wytyczne doty</w:t>
            </w:r>
            <w:r>
              <w:rPr>
                <w:rFonts w:ascii="Times New Roman" w:eastAsia="Times New Roman" w:hAnsi="Times New Roman" w:cs="Times New Roman"/>
                <w:lang w:eastAsia="pl-PL"/>
              </w:rPr>
              <w:t>czące treści aktu wykonawczego</w:t>
            </w:r>
            <w:r w:rsidR="00751904">
              <w:rPr>
                <w:rFonts w:ascii="Times New Roman" w:eastAsia="Times New Roman" w:hAnsi="Times New Roman" w:cs="Times New Roman"/>
                <w:lang w:eastAsia="pl-PL"/>
              </w:rPr>
              <w:t xml:space="preserve">; </w:t>
            </w:r>
            <w:r w:rsidR="00BC7940">
              <w:rPr>
                <w:rFonts w:ascii="Times New Roman" w:eastAsia="Times New Roman" w:hAnsi="Times New Roman" w:cs="Times New Roman"/>
                <w:lang w:eastAsia="pl-PL"/>
              </w:rPr>
              <w:t>dokonano korekty uzasadnienia projektu</w:t>
            </w:r>
          </w:p>
        </w:tc>
      </w:tr>
      <w:tr w:rsidR="005F2CC4" w:rsidRPr="00C2454A" w14:paraId="578A9FD4" w14:textId="77777777" w:rsidTr="00802A57">
        <w:tc>
          <w:tcPr>
            <w:tcW w:w="562" w:type="dxa"/>
            <w:shd w:val="clear" w:color="auto" w:fill="FFFFFF" w:themeFill="background1"/>
            <w:vAlign w:val="center"/>
          </w:tcPr>
          <w:p w14:paraId="1CFC5CAE" w14:textId="71313A99" w:rsidR="005F2CC4" w:rsidRPr="00C2454A" w:rsidRDefault="005F2CC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187C47AB" w14:textId="77777777" w:rsidR="005F2CC4" w:rsidRPr="00397F92" w:rsidRDefault="005F2CC4" w:rsidP="005F2CC4">
            <w:pPr>
              <w:spacing w:after="0" w:line="276" w:lineRule="auto"/>
              <w:jc w:val="center"/>
              <w:rPr>
                <w:rFonts w:ascii="Times New Roman" w:eastAsia="Times New Roman" w:hAnsi="Times New Roman" w:cs="Times New Roman"/>
                <w:lang w:eastAsia="pl-PL"/>
              </w:rPr>
            </w:pPr>
            <w:r w:rsidRPr="00397F92">
              <w:rPr>
                <w:rFonts w:ascii="Times New Roman" w:eastAsia="Times New Roman" w:hAnsi="Times New Roman" w:cs="Times New Roman"/>
                <w:lang w:eastAsia="pl-PL"/>
              </w:rPr>
              <w:t>RCL</w:t>
            </w:r>
          </w:p>
        </w:tc>
        <w:tc>
          <w:tcPr>
            <w:tcW w:w="1394" w:type="dxa"/>
            <w:shd w:val="clear" w:color="auto" w:fill="FFFFFF" w:themeFill="background1"/>
            <w:vAlign w:val="center"/>
          </w:tcPr>
          <w:p w14:paraId="72D63765" w14:textId="77777777" w:rsidR="005F2CC4" w:rsidRPr="00397F92" w:rsidRDefault="005F2CC4" w:rsidP="00C019E3">
            <w:pPr>
              <w:spacing w:after="0" w:line="276" w:lineRule="auto"/>
              <w:jc w:val="both"/>
              <w:rPr>
                <w:rFonts w:ascii="Times New Roman" w:eastAsia="Times New Roman" w:hAnsi="Times New Roman" w:cs="Times New Roman"/>
                <w:lang w:eastAsia="pl-PL"/>
              </w:rPr>
            </w:pPr>
            <w:r w:rsidRPr="00397F92">
              <w:rPr>
                <w:rFonts w:ascii="Times New Roman" w:eastAsia="Times New Roman" w:hAnsi="Times New Roman" w:cs="Times New Roman"/>
                <w:lang w:eastAsia="pl-PL"/>
              </w:rPr>
              <w:t>art. 27</w:t>
            </w:r>
          </w:p>
        </w:tc>
        <w:tc>
          <w:tcPr>
            <w:tcW w:w="6897" w:type="dxa"/>
            <w:shd w:val="clear" w:color="auto" w:fill="FFFFFF" w:themeFill="background1"/>
          </w:tcPr>
          <w:p w14:paraId="1F181A73" w14:textId="336CA448" w:rsidR="005F2CC4" w:rsidRPr="00397F92" w:rsidRDefault="005F2CC4" w:rsidP="00BD67F3">
            <w:pPr>
              <w:spacing w:after="0" w:line="276" w:lineRule="auto"/>
              <w:jc w:val="both"/>
              <w:rPr>
                <w:rFonts w:ascii="Times New Roman" w:eastAsia="Times New Roman" w:hAnsi="Times New Roman" w:cs="Times New Roman"/>
                <w:lang w:eastAsia="pl-PL"/>
              </w:rPr>
            </w:pPr>
            <w:r w:rsidRPr="00397F92">
              <w:rPr>
                <w:rFonts w:ascii="Times New Roman" w:eastAsia="Times New Roman" w:hAnsi="Times New Roman" w:cs="Times New Roman"/>
                <w:lang w:eastAsia="pl-PL"/>
              </w:rPr>
              <w:t>wymaga korekty ze względów określoności i precyzji redakcji w zakresie:</w:t>
            </w:r>
          </w:p>
          <w:p w14:paraId="7ABB71E2" w14:textId="61FD74D9" w:rsidR="005F2CC4" w:rsidRPr="00397F92" w:rsidRDefault="005F2CC4" w:rsidP="00BD67F3">
            <w:pPr>
              <w:spacing w:after="0" w:line="276" w:lineRule="auto"/>
              <w:jc w:val="both"/>
              <w:rPr>
                <w:rFonts w:ascii="Times New Roman" w:eastAsia="Times New Roman" w:hAnsi="Times New Roman" w:cs="Times New Roman"/>
                <w:lang w:eastAsia="pl-PL"/>
              </w:rPr>
            </w:pPr>
            <w:r w:rsidRPr="00397F92">
              <w:rPr>
                <w:rFonts w:ascii="Times New Roman" w:eastAsia="Times New Roman" w:hAnsi="Times New Roman" w:cs="Times New Roman"/>
                <w:lang w:eastAsia="pl-PL"/>
              </w:rPr>
              <w:t>1/ katalog obowiązków COT KSI  winien być zamknięty</w:t>
            </w:r>
          </w:p>
          <w:p w14:paraId="6926B481" w14:textId="3558DBC8" w:rsidR="005F2CC4" w:rsidRPr="00397F92" w:rsidRDefault="00397F92" w:rsidP="002139AF">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2/ </w:t>
            </w:r>
            <w:r w:rsidR="005F2CC4" w:rsidRPr="00397F92">
              <w:rPr>
                <w:rFonts w:ascii="Times New Roman" w:eastAsia="Times New Roman" w:hAnsi="Times New Roman" w:cs="Times New Roman"/>
                <w:lang w:eastAsia="pl-PL"/>
              </w:rPr>
              <w:t xml:space="preserve">zastąpić błędną formułę „jest zobowiązany” (dedykowaną stos. cywilnoprawnym) formułą „jest obowiązany” </w:t>
            </w:r>
          </w:p>
          <w:p w14:paraId="040CEF94" w14:textId="09D43B25" w:rsidR="005F2CC4" w:rsidRPr="00397F92" w:rsidRDefault="005F2CC4" w:rsidP="002139AF">
            <w:pPr>
              <w:spacing w:after="0" w:line="276" w:lineRule="auto"/>
              <w:jc w:val="both"/>
              <w:rPr>
                <w:rFonts w:ascii="Times New Roman" w:eastAsia="Times New Roman" w:hAnsi="Times New Roman" w:cs="Times New Roman"/>
                <w:lang w:eastAsia="pl-PL"/>
              </w:rPr>
            </w:pPr>
          </w:p>
        </w:tc>
        <w:tc>
          <w:tcPr>
            <w:tcW w:w="5128" w:type="dxa"/>
            <w:shd w:val="clear" w:color="auto" w:fill="FFFFFF" w:themeFill="background1"/>
          </w:tcPr>
          <w:p w14:paraId="510645AC" w14:textId="7E88663E" w:rsidR="005A6820" w:rsidRDefault="005A6820" w:rsidP="00397F92">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 – w tym zakresie wskazano na potrzebę analizy spoczywających na COT KSI zadań</w:t>
            </w:r>
            <w:r w:rsidR="00FA0109">
              <w:rPr>
                <w:rFonts w:ascii="Times New Roman" w:eastAsia="Times New Roman" w:hAnsi="Times New Roman" w:cs="Times New Roman"/>
                <w:lang w:eastAsia="pl-PL"/>
              </w:rPr>
              <w:t xml:space="preserve"> oraz </w:t>
            </w:r>
            <w:r w:rsidR="00FA0109">
              <w:rPr>
                <w:rFonts w:ascii="Times New Roman" w:eastAsia="Times New Roman" w:hAnsi="Times New Roman" w:cs="Times New Roman"/>
                <w:lang w:eastAsia="pl-PL"/>
              </w:rPr>
              <w:lastRenderedPageBreak/>
              <w:t>potrzebę ogólnej regulacji obowiązków sprawozdawczych w zakresie KSI SIS</w:t>
            </w:r>
            <w:r w:rsidR="00CD45E2">
              <w:rPr>
                <w:rFonts w:ascii="Times New Roman" w:eastAsia="Times New Roman" w:hAnsi="Times New Roman" w:cs="Times New Roman"/>
                <w:lang w:eastAsia="pl-PL"/>
              </w:rPr>
              <w:t xml:space="preserve"> (w formule wyodrębnionej z katalogu);</w:t>
            </w:r>
          </w:p>
          <w:p w14:paraId="309176E3" w14:textId="21E889F6" w:rsidR="00C42BE4" w:rsidRPr="00C2454A" w:rsidRDefault="005A6820" w:rsidP="005A6820">
            <w:pPr>
              <w:spacing w:after="0" w:line="276" w:lineRule="auto"/>
            </w:pPr>
            <w:r>
              <w:rPr>
                <w:rFonts w:ascii="Times New Roman" w:eastAsia="Times New Roman" w:hAnsi="Times New Roman" w:cs="Times New Roman"/>
                <w:lang w:eastAsia="pl-PL"/>
              </w:rPr>
              <w:t xml:space="preserve">uwagę </w:t>
            </w:r>
            <w:r w:rsidR="005F2CC4" w:rsidRPr="00397F92">
              <w:rPr>
                <w:rFonts w:ascii="Times New Roman" w:eastAsia="Times New Roman" w:hAnsi="Times New Roman" w:cs="Times New Roman"/>
                <w:lang w:eastAsia="pl-PL"/>
              </w:rPr>
              <w:t xml:space="preserve">uwzględniono </w:t>
            </w:r>
            <w:r w:rsidR="00397F92" w:rsidRPr="00397F92">
              <w:rPr>
                <w:rFonts w:ascii="Times New Roman" w:eastAsia="Times New Roman" w:hAnsi="Times New Roman" w:cs="Times New Roman"/>
                <w:lang w:eastAsia="pl-PL"/>
              </w:rPr>
              <w:t>- zmieniono treść art. 27</w:t>
            </w:r>
            <w:r w:rsidR="00397F92">
              <w:rPr>
                <w:rFonts w:ascii="Times New Roman" w:eastAsia="Times New Roman" w:hAnsi="Times New Roman" w:cs="Times New Roman"/>
                <w:lang w:eastAsia="pl-PL"/>
              </w:rPr>
              <w:t xml:space="preserve"> w zakresie wskazań pkt 1 i 2</w:t>
            </w:r>
            <w:r>
              <w:rPr>
                <w:rFonts w:ascii="Times New Roman" w:eastAsia="Times New Roman" w:hAnsi="Times New Roman" w:cs="Times New Roman"/>
                <w:lang w:eastAsia="pl-PL"/>
              </w:rPr>
              <w:t xml:space="preserve">; </w:t>
            </w:r>
            <w:r w:rsidR="00C42BE4">
              <w:rPr>
                <w:rFonts w:ascii="Times New Roman" w:eastAsia="Times New Roman" w:hAnsi="Times New Roman" w:cs="Times New Roman"/>
                <w:lang w:eastAsia="pl-PL"/>
              </w:rPr>
              <w:t>dokonano korekty uzasadnienia projektu</w:t>
            </w:r>
          </w:p>
        </w:tc>
      </w:tr>
      <w:tr w:rsidR="005F2CC4" w:rsidRPr="00C2454A" w14:paraId="18C9DA66" w14:textId="77777777" w:rsidTr="00802A57">
        <w:tc>
          <w:tcPr>
            <w:tcW w:w="562" w:type="dxa"/>
            <w:shd w:val="clear" w:color="auto" w:fill="FFFFFF" w:themeFill="background1"/>
            <w:vAlign w:val="center"/>
          </w:tcPr>
          <w:p w14:paraId="7C227F26" w14:textId="78ABB764" w:rsidR="005F2CC4" w:rsidRPr="00185327" w:rsidRDefault="005F2CC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5274CDAA" w14:textId="19D0624A" w:rsidR="005F2CC4" w:rsidRPr="00185327" w:rsidRDefault="005F2CC4" w:rsidP="005F2CC4">
            <w:pPr>
              <w:spacing w:after="0" w:line="276" w:lineRule="auto"/>
              <w:jc w:val="center"/>
              <w:rPr>
                <w:rFonts w:ascii="Times New Roman" w:eastAsia="Times New Roman" w:hAnsi="Times New Roman" w:cs="Times New Roman"/>
                <w:lang w:eastAsia="pl-PL"/>
              </w:rPr>
            </w:pPr>
            <w:r w:rsidRPr="00185327">
              <w:rPr>
                <w:rFonts w:ascii="Times New Roman" w:eastAsia="Times New Roman" w:hAnsi="Times New Roman" w:cs="Times New Roman"/>
                <w:lang w:eastAsia="pl-PL"/>
              </w:rPr>
              <w:t>RCL</w:t>
            </w:r>
          </w:p>
        </w:tc>
        <w:tc>
          <w:tcPr>
            <w:tcW w:w="1394" w:type="dxa"/>
            <w:shd w:val="clear" w:color="auto" w:fill="FFFFFF" w:themeFill="background1"/>
            <w:vAlign w:val="center"/>
          </w:tcPr>
          <w:p w14:paraId="6602CC25" w14:textId="77777777" w:rsidR="005F2CC4" w:rsidRPr="00185327" w:rsidRDefault="005F2CC4" w:rsidP="00C019E3">
            <w:pPr>
              <w:spacing w:after="0" w:line="276" w:lineRule="auto"/>
              <w:jc w:val="both"/>
              <w:rPr>
                <w:rFonts w:ascii="Times New Roman" w:eastAsia="Times New Roman" w:hAnsi="Times New Roman" w:cs="Times New Roman"/>
                <w:lang w:eastAsia="pl-PL"/>
              </w:rPr>
            </w:pPr>
            <w:r w:rsidRPr="00185327">
              <w:rPr>
                <w:rFonts w:ascii="Times New Roman" w:eastAsia="Times New Roman" w:hAnsi="Times New Roman" w:cs="Times New Roman"/>
                <w:lang w:eastAsia="pl-PL"/>
              </w:rPr>
              <w:t>OSR</w:t>
            </w:r>
          </w:p>
        </w:tc>
        <w:tc>
          <w:tcPr>
            <w:tcW w:w="6897" w:type="dxa"/>
            <w:shd w:val="clear" w:color="auto" w:fill="FFFFFF" w:themeFill="background1"/>
          </w:tcPr>
          <w:p w14:paraId="522DFCA2" w14:textId="7461D63A" w:rsidR="005F2CC4" w:rsidRPr="00185327" w:rsidRDefault="005F2CC4" w:rsidP="002139AF">
            <w:pPr>
              <w:spacing w:after="0" w:line="276" w:lineRule="auto"/>
              <w:jc w:val="both"/>
              <w:rPr>
                <w:rFonts w:ascii="Times New Roman" w:eastAsia="Times New Roman" w:hAnsi="Times New Roman" w:cs="Times New Roman"/>
                <w:lang w:eastAsia="pl-PL"/>
              </w:rPr>
            </w:pPr>
            <w:r w:rsidRPr="00185327">
              <w:rPr>
                <w:rFonts w:ascii="Times New Roman" w:eastAsia="Times New Roman" w:hAnsi="Times New Roman" w:cs="Times New Roman"/>
                <w:lang w:eastAsia="pl-PL"/>
              </w:rPr>
              <w:t xml:space="preserve">należy uzupełnić o informację dotyczącą sytuacji ekonomicznej i społecznej rodziny, osób niepełnosprawnych oraz starszych </w:t>
            </w:r>
          </w:p>
          <w:p w14:paraId="0340D48C" w14:textId="77777777" w:rsidR="005F2CC4" w:rsidRPr="00185327" w:rsidRDefault="005F2CC4" w:rsidP="002139AF">
            <w:pPr>
              <w:spacing w:after="0" w:line="276" w:lineRule="auto"/>
              <w:jc w:val="both"/>
              <w:rPr>
                <w:rFonts w:ascii="Times New Roman" w:eastAsia="Times New Roman" w:hAnsi="Times New Roman" w:cs="Times New Roman"/>
                <w:lang w:eastAsia="pl-PL"/>
              </w:rPr>
            </w:pPr>
            <w:r w:rsidRPr="00185327">
              <w:rPr>
                <w:rFonts w:ascii="Times New Roman" w:eastAsia="Times New Roman" w:hAnsi="Times New Roman" w:cs="Times New Roman"/>
                <w:lang w:eastAsia="pl-PL"/>
              </w:rPr>
              <w:t>(§ 27 ust. 2 pkt 3 lit. d) Regulaminu pracy Rady Ministrów)</w:t>
            </w:r>
          </w:p>
          <w:p w14:paraId="145E9C08" w14:textId="4941BF93" w:rsidR="005F2CC4" w:rsidRPr="00185327" w:rsidRDefault="005F2CC4" w:rsidP="002139AF">
            <w:pPr>
              <w:spacing w:after="0" w:line="276" w:lineRule="auto"/>
              <w:jc w:val="both"/>
              <w:rPr>
                <w:rFonts w:ascii="Times New Roman" w:eastAsia="Times New Roman" w:hAnsi="Times New Roman" w:cs="Times New Roman"/>
                <w:lang w:eastAsia="pl-PL"/>
              </w:rPr>
            </w:pPr>
          </w:p>
        </w:tc>
        <w:tc>
          <w:tcPr>
            <w:tcW w:w="5128" w:type="dxa"/>
            <w:shd w:val="clear" w:color="auto" w:fill="FFFFFF" w:themeFill="background1"/>
          </w:tcPr>
          <w:p w14:paraId="2034FCCE" w14:textId="3403C684" w:rsidR="00376482" w:rsidRDefault="00376482"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33BEE2B6" w14:textId="28EAA697" w:rsidR="00D773E6" w:rsidRPr="00185327" w:rsidRDefault="00376482"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AB4947" w:rsidRPr="00185327">
              <w:rPr>
                <w:rFonts w:ascii="Times New Roman" w:eastAsia="Times New Roman" w:hAnsi="Times New Roman" w:cs="Times New Roman"/>
                <w:lang w:eastAsia="pl-PL"/>
              </w:rPr>
              <w:t>uwzględniono</w:t>
            </w:r>
            <w:r>
              <w:rPr>
                <w:rFonts w:ascii="Times New Roman" w:eastAsia="Times New Roman" w:hAnsi="Times New Roman" w:cs="Times New Roman"/>
                <w:lang w:eastAsia="pl-PL"/>
              </w:rPr>
              <w:t xml:space="preserve"> </w:t>
            </w:r>
            <w:r w:rsidR="005F2CC4" w:rsidRPr="00185327">
              <w:rPr>
                <w:rFonts w:ascii="Times New Roman" w:eastAsia="Times New Roman" w:hAnsi="Times New Roman" w:cs="Times New Roman"/>
                <w:lang w:eastAsia="pl-PL"/>
              </w:rPr>
              <w:t xml:space="preserve">- </w:t>
            </w:r>
            <w:r w:rsidR="00AB4947" w:rsidRPr="00185327">
              <w:rPr>
                <w:rFonts w:ascii="Times New Roman" w:eastAsia="Times New Roman" w:hAnsi="Times New Roman" w:cs="Times New Roman"/>
                <w:lang w:eastAsia="pl-PL"/>
              </w:rPr>
              <w:t xml:space="preserve">uzupełniono pkt 7 </w:t>
            </w:r>
            <w:r w:rsidR="005F2CC4" w:rsidRPr="00185327">
              <w:rPr>
                <w:rFonts w:ascii="Times New Roman" w:eastAsia="Times New Roman" w:hAnsi="Times New Roman" w:cs="Times New Roman"/>
                <w:lang w:eastAsia="pl-PL"/>
              </w:rPr>
              <w:t>OSR</w:t>
            </w:r>
            <w:r w:rsidR="00776789" w:rsidRPr="00185327">
              <w:rPr>
                <w:rFonts w:ascii="Times New Roman" w:eastAsia="Times New Roman" w:hAnsi="Times New Roman" w:cs="Times New Roman"/>
                <w:lang w:eastAsia="pl-PL"/>
              </w:rPr>
              <w:t xml:space="preserve"> o </w:t>
            </w:r>
            <w:r w:rsidR="00AB4947" w:rsidRPr="00185327">
              <w:rPr>
                <w:rFonts w:ascii="Times New Roman" w:eastAsia="Times New Roman" w:hAnsi="Times New Roman" w:cs="Times New Roman"/>
                <w:lang w:eastAsia="pl-PL"/>
              </w:rPr>
              <w:t xml:space="preserve">informację o </w:t>
            </w:r>
            <w:r w:rsidR="00776789" w:rsidRPr="00185327">
              <w:rPr>
                <w:rFonts w:ascii="Times New Roman" w:eastAsia="Times New Roman" w:hAnsi="Times New Roman" w:cs="Times New Roman"/>
                <w:lang w:eastAsia="pl-PL"/>
              </w:rPr>
              <w:t xml:space="preserve">braku </w:t>
            </w:r>
            <w:r w:rsidR="006E2C2F" w:rsidRPr="00185327">
              <w:rPr>
                <w:rFonts w:ascii="Times New Roman" w:eastAsia="Times New Roman" w:hAnsi="Times New Roman" w:cs="Times New Roman"/>
                <w:lang w:eastAsia="pl-PL"/>
              </w:rPr>
              <w:t>wpływu na ten obszar (</w:t>
            </w:r>
            <w:r w:rsidR="00776789" w:rsidRPr="00185327">
              <w:rPr>
                <w:rFonts w:ascii="Times New Roman" w:eastAsia="Times New Roman" w:hAnsi="Times New Roman" w:cs="Times New Roman"/>
                <w:lang w:eastAsia="pl-PL"/>
              </w:rPr>
              <w:t>na podstawie § 28 ust. 2 pkt 3 lit. d) Reg. RM</w:t>
            </w:r>
            <w:r w:rsidR="006E2C2F" w:rsidRPr="00185327">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D773E6">
              <w:rPr>
                <w:rFonts w:ascii="Times New Roman" w:eastAsia="Times New Roman" w:hAnsi="Times New Roman" w:cs="Times New Roman"/>
                <w:lang w:eastAsia="pl-PL"/>
              </w:rPr>
              <w:t>dokonano korekty uzasadnienia projektu (</w:t>
            </w:r>
            <w:r w:rsidR="00802A57">
              <w:rPr>
                <w:rFonts w:ascii="Times New Roman" w:eastAsia="Times New Roman" w:hAnsi="Times New Roman" w:cs="Times New Roman"/>
                <w:lang w:eastAsia="pl-PL"/>
              </w:rPr>
              <w:t xml:space="preserve">spójnie z zamieszczoną tam uwagą </w:t>
            </w:r>
            <w:r w:rsidR="00D773E6">
              <w:rPr>
                <w:rFonts w:ascii="Times New Roman" w:eastAsia="Times New Roman" w:hAnsi="Times New Roman" w:cs="Times New Roman"/>
                <w:lang w:eastAsia="pl-PL"/>
              </w:rPr>
              <w:t xml:space="preserve">dot. braku wpływu projektu na ujętą w pkt 7 OSR </w:t>
            </w:r>
            <w:r w:rsidR="003F2B84">
              <w:rPr>
                <w:rFonts w:ascii="Times New Roman" w:eastAsia="Times New Roman" w:hAnsi="Times New Roman" w:cs="Times New Roman"/>
                <w:lang w:eastAsia="pl-PL"/>
              </w:rPr>
              <w:t xml:space="preserve">sferę podmiotów prowadzących </w:t>
            </w:r>
            <w:r w:rsidR="00D773E6">
              <w:rPr>
                <w:rFonts w:ascii="Times New Roman" w:eastAsia="Times New Roman" w:hAnsi="Times New Roman" w:cs="Times New Roman"/>
                <w:lang w:eastAsia="pl-PL"/>
              </w:rPr>
              <w:t>działalność gospodarczą –</w:t>
            </w:r>
            <w:r w:rsidR="00802A57">
              <w:rPr>
                <w:rFonts w:ascii="Times New Roman" w:eastAsia="Times New Roman" w:hAnsi="Times New Roman" w:cs="Times New Roman"/>
                <w:lang w:eastAsia="pl-PL"/>
              </w:rPr>
              <w:t xml:space="preserve"> i w tym zakresie umieszczono też </w:t>
            </w:r>
            <w:r w:rsidR="00D773E6">
              <w:rPr>
                <w:rFonts w:ascii="Times New Roman" w:eastAsia="Times New Roman" w:hAnsi="Times New Roman" w:cs="Times New Roman"/>
                <w:lang w:eastAsia="pl-PL"/>
              </w:rPr>
              <w:t xml:space="preserve">ww. </w:t>
            </w:r>
            <w:r w:rsidR="00802A57">
              <w:rPr>
                <w:rFonts w:ascii="Times New Roman" w:eastAsia="Times New Roman" w:hAnsi="Times New Roman" w:cs="Times New Roman"/>
                <w:lang w:eastAsia="pl-PL"/>
              </w:rPr>
              <w:t xml:space="preserve">treść </w:t>
            </w:r>
            <w:r w:rsidR="00D773E6">
              <w:rPr>
                <w:rFonts w:ascii="Times New Roman" w:eastAsia="Times New Roman" w:hAnsi="Times New Roman" w:cs="Times New Roman"/>
                <w:lang w:eastAsia="pl-PL"/>
              </w:rPr>
              <w:t>w OSR)</w:t>
            </w:r>
          </w:p>
          <w:p w14:paraId="3E63E15F" w14:textId="344ECA35" w:rsidR="005F2CC4" w:rsidRPr="00185327" w:rsidRDefault="005F2CC4" w:rsidP="00C019E3">
            <w:pPr>
              <w:spacing w:after="0" w:line="276" w:lineRule="auto"/>
              <w:jc w:val="both"/>
              <w:rPr>
                <w:rFonts w:ascii="Times New Roman" w:eastAsia="Times New Roman" w:hAnsi="Times New Roman" w:cs="Times New Roman"/>
                <w:lang w:eastAsia="pl-PL"/>
              </w:rPr>
            </w:pPr>
          </w:p>
        </w:tc>
      </w:tr>
      <w:tr w:rsidR="005F2CC4" w:rsidRPr="00C2454A" w14:paraId="5178C88F" w14:textId="77777777" w:rsidTr="00556BDB">
        <w:tc>
          <w:tcPr>
            <w:tcW w:w="562" w:type="dxa"/>
            <w:tcBorders>
              <w:bottom w:val="single" w:sz="24" w:space="0" w:color="auto"/>
            </w:tcBorders>
            <w:shd w:val="clear" w:color="auto" w:fill="FFFFFF" w:themeFill="background1"/>
            <w:vAlign w:val="center"/>
          </w:tcPr>
          <w:p w14:paraId="12CC2937" w14:textId="2BD32B0D" w:rsidR="005F2CC4" w:rsidRPr="00C2454A" w:rsidRDefault="005F2CC4"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24" w:space="0" w:color="auto"/>
            </w:tcBorders>
            <w:shd w:val="clear" w:color="auto" w:fill="FFFFFF" w:themeFill="background1"/>
            <w:vAlign w:val="center"/>
          </w:tcPr>
          <w:p w14:paraId="3D55D243" w14:textId="33279606" w:rsidR="005F2CC4" w:rsidRPr="00C2454A" w:rsidRDefault="005F2CC4" w:rsidP="005F2CC4">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RCL</w:t>
            </w:r>
          </w:p>
        </w:tc>
        <w:tc>
          <w:tcPr>
            <w:tcW w:w="1394" w:type="dxa"/>
            <w:tcBorders>
              <w:bottom w:val="single" w:sz="24" w:space="0" w:color="auto"/>
            </w:tcBorders>
            <w:shd w:val="clear" w:color="auto" w:fill="FFFFFF" w:themeFill="background1"/>
            <w:vAlign w:val="center"/>
          </w:tcPr>
          <w:p w14:paraId="20701F6C" w14:textId="54F1EB44" w:rsidR="005F2CC4" w:rsidRPr="00C2454A" w:rsidRDefault="005139D4"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dot. procesu leg.</w:t>
            </w:r>
          </w:p>
        </w:tc>
        <w:tc>
          <w:tcPr>
            <w:tcW w:w="6897" w:type="dxa"/>
            <w:tcBorders>
              <w:bottom w:val="single" w:sz="24" w:space="0" w:color="auto"/>
            </w:tcBorders>
            <w:shd w:val="clear" w:color="auto" w:fill="FFFFFF" w:themeFill="background1"/>
          </w:tcPr>
          <w:p w14:paraId="41FC3317" w14:textId="77777777" w:rsidR="005F2CC4" w:rsidRPr="00C2454A" w:rsidRDefault="005F2CC4" w:rsidP="002139AF">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uzupełnienie </w:t>
            </w:r>
            <w:r w:rsidRPr="00556BDB">
              <w:rPr>
                <w:rFonts w:ascii="Times New Roman" w:eastAsia="Times New Roman" w:hAnsi="Times New Roman" w:cs="Times New Roman"/>
                <w:lang w:eastAsia="pl-PL"/>
              </w:rPr>
              <w:t>projektu o projekty wszystkich aktów wykonawczych, których obowiązek wydania przewiduje projekt ustawy - na etapie rozpatrywania przez Stały Komitet Rady Ministrów (§ 60 ust. 3 pkt 7 Regulaminu pracy Rady Ministrów)</w:t>
            </w:r>
          </w:p>
          <w:p w14:paraId="087225DD" w14:textId="2DEDB2F0" w:rsidR="005F2CC4" w:rsidRPr="00C2454A" w:rsidRDefault="005F2CC4" w:rsidP="002139AF">
            <w:pPr>
              <w:spacing w:after="0" w:line="276" w:lineRule="auto"/>
              <w:jc w:val="both"/>
              <w:rPr>
                <w:rFonts w:ascii="Times New Roman" w:eastAsia="Times New Roman" w:hAnsi="Times New Roman" w:cs="Times New Roman"/>
                <w:lang w:eastAsia="pl-PL"/>
              </w:rPr>
            </w:pPr>
          </w:p>
        </w:tc>
        <w:tc>
          <w:tcPr>
            <w:tcW w:w="5128" w:type="dxa"/>
            <w:tcBorders>
              <w:bottom w:val="single" w:sz="24" w:space="0" w:color="auto"/>
            </w:tcBorders>
            <w:shd w:val="clear" w:color="auto" w:fill="FFFFFF" w:themeFill="background1"/>
          </w:tcPr>
          <w:p w14:paraId="4D05C1F3" w14:textId="70EE71F9" w:rsidR="00376482" w:rsidRDefault="00376482" w:rsidP="006C463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6D27C4B5" w14:textId="69DAD77D" w:rsidR="00B75DCA" w:rsidRDefault="006C463B" w:rsidP="006C463B">
            <w:pPr>
              <w:spacing w:after="0" w:line="276" w:lineRule="auto"/>
              <w:jc w:val="both"/>
              <w:rPr>
                <w:rFonts w:ascii="Times New Roman" w:eastAsia="Times New Roman" w:hAnsi="Times New Roman" w:cs="Times New Roman"/>
                <w:lang w:eastAsia="pl-PL"/>
              </w:rPr>
            </w:pPr>
            <w:r w:rsidRPr="00556BDB">
              <w:rPr>
                <w:rFonts w:ascii="Times New Roman" w:eastAsia="Times New Roman" w:hAnsi="Times New Roman" w:cs="Times New Roman"/>
                <w:lang w:eastAsia="pl-PL"/>
              </w:rPr>
              <w:t xml:space="preserve">- </w:t>
            </w:r>
            <w:r w:rsidR="006B368C">
              <w:rPr>
                <w:rFonts w:ascii="Times New Roman" w:eastAsia="Times New Roman" w:hAnsi="Times New Roman" w:cs="Times New Roman"/>
                <w:lang w:eastAsia="pl-PL"/>
              </w:rPr>
              <w:t>w tym zakresie</w:t>
            </w:r>
            <w:r w:rsidRPr="00556BDB">
              <w:rPr>
                <w:rFonts w:ascii="Times New Roman" w:eastAsia="Times New Roman" w:hAnsi="Times New Roman" w:cs="Times New Roman"/>
                <w:lang w:eastAsia="pl-PL"/>
              </w:rPr>
              <w:t xml:space="preserve"> dokonano </w:t>
            </w:r>
            <w:r w:rsidRPr="006B368C">
              <w:rPr>
                <w:rFonts w:ascii="Times New Roman" w:eastAsia="Times New Roman" w:hAnsi="Times New Roman" w:cs="Times New Roman"/>
                <w:u w:val="single"/>
                <w:lang w:eastAsia="pl-PL"/>
              </w:rPr>
              <w:t xml:space="preserve">zmiany w </w:t>
            </w:r>
            <w:r w:rsidR="006B368C" w:rsidRPr="006B368C">
              <w:rPr>
                <w:rFonts w:ascii="Times New Roman" w:eastAsia="Times New Roman" w:hAnsi="Times New Roman" w:cs="Times New Roman"/>
                <w:u w:val="single"/>
                <w:lang w:eastAsia="pl-PL"/>
              </w:rPr>
              <w:t xml:space="preserve">treści </w:t>
            </w:r>
            <w:r w:rsidRPr="006B368C">
              <w:rPr>
                <w:rFonts w:ascii="Times New Roman" w:eastAsia="Times New Roman" w:hAnsi="Times New Roman" w:cs="Times New Roman"/>
                <w:u w:val="single"/>
                <w:lang w:eastAsia="pl-PL"/>
              </w:rPr>
              <w:t xml:space="preserve">art. 2 projektu </w:t>
            </w:r>
            <w:r w:rsidRPr="00556BDB">
              <w:rPr>
                <w:rFonts w:ascii="Times New Roman" w:eastAsia="Times New Roman" w:hAnsi="Times New Roman" w:cs="Times New Roman"/>
                <w:lang w:eastAsia="pl-PL"/>
              </w:rPr>
              <w:t xml:space="preserve">z uwagi na </w:t>
            </w:r>
            <w:r w:rsidR="006B368C">
              <w:rPr>
                <w:rFonts w:ascii="Times New Roman" w:eastAsia="Times New Roman" w:hAnsi="Times New Roman" w:cs="Times New Roman"/>
                <w:lang w:eastAsia="pl-PL"/>
              </w:rPr>
              <w:t>regulację</w:t>
            </w:r>
            <w:r w:rsidRPr="00556BDB">
              <w:rPr>
                <w:rFonts w:ascii="Times New Roman" w:eastAsia="Times New Roman" w:hAnsi="Times New Roman" w:cs="Times New Roman"/>
                <w:lang w:eastAsia="pl-PL"/>
              </w:rPr>
              <w:t xml:space="preserve"> § 32 ust. 2 ZTP a contrario – </w:t>
            </w:r>
            <w:r w:rsidR="00556BDB" w:rsidRPr="00556BDB">
              <w:rPr>
                <w:rFonts w:ascii="Times New Roman" w:eastAsia="Times New Roman" w:hAnsi="Times New Roman" w:cs="Times New Roman"/>
                <w:lang w:eastAsia="pl-PL"/>
              </w:rPr>
              <w:t>gdyż</w:t>
            </w:r>
            <w:r w:rsidR="00556BDB">
              <w:rPr>
                <w:rFonts w:ascii="Times New Roman" w:eastAsia="Times New Roman" w:hAnsi="Times New Roman" w:cs="Times New Roman"/>
                <w:lang w:eastAsia="pl-PL"/>
              </w:rPr>
              <w:t xml:space="preserve"> </w:t>
            </w:r>
            <w:r w:rsidRPr="006C463B">
              <w:rPr>
                <w:rFonts w:ascii="Times New Roman" w:eastAsia="Times New Roman" w:hAnsi="Times New Roman" w:cs="Times New Roman"/>
                <w:lang w:eastAsia="pl-PL"/>
              </w:rPr>
              <w:t>rozporządzenie przewidziane w art. 28 obow</w:t>
            </w:r>
            <w:r w:rsidR="00556BDB">
              <w:rPr>
                <w:rFonts w:ascii="Times New Roman" w:eastAsia="Times New Roman" w:hAnsi="Times New Roman" w:cs="Times New Roman"/>
                <w:lang w:eastAsia="pl-PL"/>
              </w:rPr>
              <w:t xml:space="preserve">iązuje </w:t>
            </w:r>
            <w:r w:rsidRPr="006C463B">
              <w:rPr>
                <w:rFonts w:ascii="Times New Roman" w:eastAsia="Times New Roman" w:hAnsi="Times New Roman" w:cs="Times New Roman"/>
                <w:lang w:eastAsia="pl-PL"/>
              </w:rPr>
              <w:t xml:space="preserve">po nowelizacji </w:t>
            </w:r>
            <w:r w:rsidR="00556BDB">
              <w:rPr>
                <w:rFonts w:ascii="Times New Roman" w:eastAsia="Times New Roman" w:hAnsi="Times New Roman" w:cs="Times New Roman"/>
                <w:lang w:eastAsia="pl-PL"/>
              </w:rPr>
              <w:t xml:space="preserve">ustawy </w:t>
            </w:r>
            <w:r w:rsidRPr="006C463B">
              <w:rPr>
                <w:rFonts w:ascii="Times New Roman" w:eastAsia="Times New Roman" w:hAnsi="Times New Roman" w:cs="Times New Roman"/>
                <w:lang w:eastAsia="pl-PL"/>
              </w:rPr>
              <w:t>z uwagi na brak zmian delegacji ustawowej w którymkolwiek z 3 obszarów istotnych z tego punktu widzenia (rodzaj akt</w:t>
            </w:r>
            <w:r>
              <w:rPr>
                <w:rFonts w:ascii="Times New Roman" w:eastAsia="Times New Roman" w:hAnsi="Times New Roman" w:cs="Times New Roman"/>
                <w:lang w:eastAsia="pl-PL"/>
              </w:rPr>
              <w:t xml:space="preserve">u, zakres regulacji i wytyczne); </w:t>
            </w:r>
            <w:r w:rsidR="00556BDB">
              <w:rPr>
                <w:rFonts w:ascii="Times New Roman" w:eastAsia="Times New Roman" w:hAnsi="Times New Roman" w:cs="Times New Roman"/>
                <w:lang w:eastAsia="pl-PL"/>
              </w:rPr>
              <w:t>nadto ww. rozporządzenie</w:t>
            </w:r>
            <w:r w:rsidRPr="006C463B">
              <w:rPr>
                <w:rFonts w:ascii="Times New Roman" w:eastAsia="Times New Roman" w:hAnsi="Times New Roman" w:cs="Times New Roman"/>
                <w:lang w:eastAsia="pl-PL"/>
              </w:rPr>
              <w:t xml:space="preserve"> </w:t>
            </w:r>
            <w:r w:rsidR="00556BDB">
              <w:rPr>
                <w:rFonts w:ascii="Times New Roman" w:eastAsia="Times New Roman" w:hAnsi="Times New Roman" w:cs="Times New Roman"/>
                <w:lang w:eastAsia="pl-PL"/>
              </w:rPr>
              <w:t>nie wymaga zmian merytorycznych.</w:t>
            </w:r>
          </w:p>
          <w:p w14:paraId="38D84A2A" w14:textId="77777777" w:rsidR="00876F46" w:rsidRDefault="00C360E7" w:rsidP="006C463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-zmiana w zakresie art. 28 miała wyłącznie charakter redakcyjny i była konsekwencją zmiany numeracji w związku ze zmianą treści art. 27</w:t>
            </w:r>
            <w:r w:rsidR="00876F46">
              <w:rPr>
                <w:rFonts w:ascii="Times New Roman" w:eastAsia="Times New Roman" w:hAnsi="Times New Roman" w:cs="Times New Roman"/>
                <w:lang w:eastAsia="pl-PL"/>
              </w:rPr>
              <w:t>;</w:t>
            </w:r>
          </w:p>
          <w:p w14:paraId="4AA25A8E" w14:textId="4D08B1FF" w:rsidR="00C360E7" w:rsidRPr="00C2454A" w:rsidRDefault="00876F46" w:rsidP="006C463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w ww. zakresie skorygowano uzasadnienie projektu</w:t>
            </w:r>
            <w:r w:rsidR="00C360E7">
              <w:rPr>
                <w:rFonts w:ascii="Times New Roman" w:eastAsia="Times New Roman" w:hAnsi="Times New Roman" w:cs="Times New Roman"/>
                <w:lang w:eastAsia="pl-PL"/>
              </w:rPr>
              <w:t xml:space="preserve"> </w:t>
            </w:r>
          </w:p>
        </w:tc>
      </w:tr>
      <w:tr w:rsidR="00E815B6" w:rsidRPr="00C2454A" w14:paraId="66F59AE5" w14:textId="77777777" w:rsidTr="00D9718E">
        <w:tc>
          <w:tcPr>
            <w:tcW w:w="562" w:type="dxa"/>
            <w:tcBorders>
              <w:top w:val="single" w:sz="24" w:space="0" w:color="auto"/>
            </w:tcBorders>
            <w:shd w:val="clear" w:color="auto" w:fill="auto"/>
            <w:vAlign w:val="center"/>
          </w:tcPr>
          <w:p w14:paraId="0B5362AA" w14:textId="5CA1FA35" w:rsidR="00E815B6" w:rsidRPr="000B3EE1" w:rsidRDefault="00E815B6"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top w:val="single" w:sz="24" w:space="0" w:color="auto"/>
            </w:tcBorders>
            <w:shd w:val="clear" w:color="auto" w:fill="auto"/>
            <w:vAlign w:val="center"/>
          </w:tcPr>
          <w:p w14:paraId="18FCBAF3" w14:textId="2AA95982" w:rsidR="00E815B6" w:rsidRPr="00C2454A" w:rsidRDefault="00E815B6" w:rsidP="005D73D7">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MI</w:t>
            </w:r>
          </w:p>
        </w:tc>
        <w:tc>
          <w:tcPr>
            <w:tcW w:w="1394" w:type="dxa"/>
            <w:tcBorders>
              <w:top w:val="single" w:sz="24" w:space="0" w:color="auto"/>
            </w:tcBorders>
            <w:shd w:val="clear" w:color="auto" w:fill="auto"/>
            <w:vAlign w:val="center"/>
          </w:tcPr>
          <w:p w14:paraId="2CD5A6E2" w14:textId="73888C7F" w:rsidR="00E815B6" w:rsidRPr="00C2454A" w:rsidRDefault="00E815B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4 ust. 4</w:t>
            </w:r>
          </w:p>
          <w:p w14:paraId="5882DF51" w14:textId="77777777" w:rsidR="00E815B6" w:rsidRPr="00C2454A" w:rsidRDefault="00E815B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 art. 4 </w:t>
            </w:r>
          </w:p>
          <w:p w14:paraId="329CAFAE" w14:textId="2FBE17F2" w:rsidR="00E815B6" w:rsidRPr="00C2454A" w:rsidRDefault="00E815B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ust. 5 pkt 3 </w:t>
            </w:r>
          </w:p>
        </w:tc>
        <w:tc>
          <w:tcPr>
            <w:tcW w:w="6897" w:type="dxa"/>
            <w:tcBorders>
              <w:top w:val="single" w:sz="24" w:space="0" w:color="auto"/>
            </w:tcBorders>
            <w:shd w:val="clear" w:color="auto" w:fill="auto"/>
          </w:tcPr>
          <w:p w14:paraId="55B3F928" w14:textId="1CEF81D4" w:rsidR="00E815B6" w:rsidRPr="00C2454A" w:rsidRDefault="00E815B6" w:rsidP="00C019E3">
            <w:pPr>
              <w:spacing w:after="0" w:line="276" w:lineRule="auto"/>
              <w:jc w:val="both"/>
              <w:rPr>
                <w:rFonts w:ascii="Times New Roman" w:eastAsia="Times New Roman" w:hAnsi="Times New Roman" w:cs="Times New Roman"/>
                <w:u w:val="single"/>
                <w:lang w:eastAsia="pl-PL"/>
              </w:rPr>
            </w:pPr>
            <w:r w:rsidRPr="00C2454A">
              <w:rPr>
                <w:rFonts w:ascii="Times New Roman" w:eastAsia="Times New Roman" w:hAnsi="Times New Roman" w:cs="Times New Roman"/>
                <w:lang w:eastAsia="pl-PL"/>
              </w:rPr>
              <w:t>konieczność analizy zakresu podmiotowego uprawnień do wglądu do danych SIS</w:t>
            </w:r>
            <w:r w:rsidRPr="00C2454A">
              <w:rPr>
                <w:rFonts w:ascii="Times New Roman" w:eastAsia="Times New Roman" w:hAnsi="Times New Roman" w:cs="Times New Roman"/>
                <w:u w:val="single"/>
                <w:lang w:eastAsia="pl-PL"/>
              </w:rPr>
              <w:t xml:space="preserve"> i ew. uzupełnienie tego zakresu w art. 4 ust. 4 o:</w:t>
            </w:r>
          </w:p>
          <w:p w14:paraId="6087B719" w14:textId="40E0ECD1" w:rsidR="00E815B6" w:rsidRPr="00C2454A" w:rsidRDefault="00E815B6" w:rsidP="009C5502">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Izby Morskie – jako organy odpowiedzialne za prowadzenie polskiego rejestru okrętowego;</w:t>
            </w:r>
          </w:p>
          <w:p w14:paraId="6D7BAA9B" w14:textId="6DB43F9C" w:rsidR="00E815B6" w:rsidRPr="00C2454A" w:rsidRDefault="00E815B6" w:rsidP="009C5502">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dyrektorów urzędów morskich,</w:t>
            </w:r>
          </w:p>
          <w:p w14:paraId="518D6830" w14:textId="055041F1" w:rsidR="00E815B6" w:rsidRDefault="00E815B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 nieścisłość i niespójność przepisów oraz konieczność rozważenia intencji powołania art. 23 i 39 Kodeksu morskiego w art. 4 ust. 5 pkt 3</w:t>
            </w:r>
          </w:p>
          <w:p w14:paraId="151E3753" w14:textId="77777777" w:rsidR="000B3EE1" w:rsidRDefault="000B3EE1" w:rsidP="00C019E3">
            <w:pPr>
              <w:spacing w:after="0" w:line="276" w:lineRule="auto"/>
              <w:jc w:val="both"/>
              <w:rPr>
                <w:rFonts w:ascii="Times New Roman" w:eastAsia="Times New Roman" w:hAnsi="Times New Roman" w:cs="Times New Roman"/>
                <w:lang w:eastAsia="pl-PL"/>
              </w:rPr>
            </w:pPr>
          </w:p>
          <w:p w14:paraId="433D1D81" w14:textId="647AF9D2" w:rsidR="000B3EE1" w:rsidRPr="00C2454A" w:rsidRDefault="000B3EE1"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(dodatkowa informacja o potrzebie zapewnienia dostępu dla dyrektorów urzędów żeglugi śródlądowej)</w:t>
            </w:r>
          </w:p>
          <w:p w14:paraId="400C70EA" w14:textId="5A792279" w:rsidR="00E815B6" w:rsidRPr="00C2454A" w:rsidRDefault="00E815B6" w:rsidP="003B0F15">
            <w:pPr>
              <w:spacing w:after="0" w:line="276" w:lineRule="auto"/>
              <w:jc w:val="both"/>
              <w:rPr>
                <w:rFonts w:ascii="Times New Roman" w:eastAsia="Times New Roman" w:hAnsi="Times New Roman" w:cs="Times New Roman"/>
                <w:u w:val="single"/>
                <w:lang w:eastAsia="pl-PL"/>
              </w:rPr>
            </w:pPr>
          </w:p>
        </w:tc>
        <w:tc>
          <w:tcPr>
            <w:tcW w:w="5128" w:type="dxa"/>
            <w:tcBorders>
              <w:top w:val="single" w:sz="24" w:space="0" w:color="auto"/>
            </w:tcBorders>
            <w:shd w:val="clear" w:color="auto" w:fill="auto"/>
          </w:tcPr>
          <w:p w14:paraId="51C75325" w14:textId="116C4C7F" w:rsidR="00CD45E2" w:rsidRDefault="00CD45E2"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1A564442" w14:textId="4CCDE238" w:rsidR="00B638B5" w:rsidRDefault="00CD45E2"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830068">
              <w:rPr>
                <w:rFonts w:ascii="Times New Roman" w:eastAsia="Times New Roman" w:hAnsi="Times New Roman" w:cs="Times New Roman"/>
                <w:lang w:eastAsia="pl-PL"/>
              </w:rPr>
              <w:t>u</w:t>
            </w:r>
            <w:r w:rsidR="00E06118" w:rsidRPr="000B3EE1">
              <w:rPr>
                <w:rFonts w:ascii="Times New Roman" w:eastAsia="Times New Roman" w:hAnsi="Times New Roman" w:cs="Times New Roman"/>
                <w:lang w:eastAsia="pl-PL"/>
              </w:rPr>
              <w:t>względniono</w:t>
            </w:r>
            <w:r w:rsidR="00830068">
              <w:rPr>
                <w:rFonts w:ascii="Times New Roman" w:eastAsia="Times New Roman" w:hAnsi="Times New Roman" w:cs="Times New Roman"/>
                <w:lang w:eastAsia="pl-PL"/>
              </w:rPr>
              <w:t xml:space="preserve"> </w:t>
            </w:r>
            <w:r w:rsidR="00F22398">
              <w:rPr>
                <w:rFonts w:ascii="Times New Roman" w:eastAsia="Times New Roman" w:hAnsi="Times New Roman" w:cs="Times New Roman"/>
                <w:lang w:eastAsia="pl-PL"/>
              </w:rPr>
              <w:t xml:space="preserve">- poprzez </w:t>
            </w:r>
            <w:r w:rsidR="00E06118">
              <w:rPr>
                <w:rFonts w:ascii="Times New Roman" w:eastAsia="Times New Roman" w:hAnsi="Times New Roman" w:cs="Times New Roman"/>
                <w:lang w:eastAsia="pl-PL"/>
              </w:rPr>
              <w:t xml:space="preserve">zmianę w zakresie podmiotowym, uzupełniając art. 4 ust. 4 projektu o </w:t>
            </w:r>
            <w:r w:rsidR="00E06118" w:rsidRPr="00E06118">
              <w:rPr>
                <w:rFonts w:ascii="Times New Roman" w:eastAsia="Times New Roman" w:hAnsi="Times New Roman" w:cs="Times New Roman"/>
                <w:lang w:eastAsia="pl-PL"/>
              </w:rPr>
              <w:t xml:space="preserve">dyrektorów urzędów morskich i Izby Morskie </w:t>
            </w:r>
            <w:r w:rsidR="000B3EE1">
              <w:rPr>
                <w:rFonts w:ascii="Times New Roman" w:eastAsia="Times New Roman" w:hAnsi="Times New Roman" w:cs="Times New Roman"/>
                <w:lang w:eastAsia="pl-PL"/>
              </w:rPr>
              <w:t xml:space="preserve">oraz o dyrektorów urzędów żeglugi śródlądowej </w:t>
            </w:r>
            <w:r w:rsidR="00E06118">
              <w:rPr>
                <w:rFonts w:ascii="Times New Roman" w:eastAsia="Times New Roman" w:hAnsi="Times New Roman" w:cs="Times New Roman"/>
                <w:lang w:eastAsia="pl-PL"/>
              </w:rPr>
              <w:t xml:space="preserve">wg postulowanego </w:t>
            </w:r>
            <w:r w:rsidR="00E06118" w:rsidRPr="00E06118">
              <w:rPr>
                <w:rFonts w:ascii="Times New Roman" w:eastAsia="Times New Roman" w:hAnsi="Times New Roman" w:cs="Times New Roman"/>
                <w:lang w:eastAsia="pl-PL"/>
              </w:rPr>
              <w:t xml:space="preserve">dostępu w trybie pośrednim – za pośrednictwem COT KSI </w:t>
            </w:r>
          </w:p>
          <w:p w14:paraId="67532B4F" w14:textId="11A3FB3B" w:rsidR="00B638B5" w:rsidRDefault="00B638B5"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art. 4 ust. 5 pkt 3 </w:t>
            </w:r>
            <w:r w:rsidR="00175849">
              <w:rPr>
                <w:rFonts w:ascii="Times New Roman" w:eastAsia="Times New Roman" w:hAnsi="Times New Roman" w:cs="Times New Roman"/>
                <w:lang w:eastAsia="pl-PL"/>
              </w:rPr>
              <w:t xml:space="preserve">skorygowano o odniesienie do art. 19 ustawy o żegludze śródlądowej </w:t>
            </w:r>
            <w:r>
              <w:rPr>
                <w:rFonts w:ascii="Times New Roman" w:eastAsia="Times New Roman" w:hAnsi="Times New Roman" w:cs="Times New Roman"/>
                <w:lang w:eastAsia="pl-PL"/>
              </w:rPr>
              <w:t>(</w:t>
            </w:r>
            <w:r w:rsidR="00175849">
              <w:rPr>
                <w:rFonts w:ascii="Times New Roman" w:eastAsia="Times New Roman" w:hAnsi="Times New Roman" w:cs="Times New Roman"/>
                <w:lang w:eastAsia="pl-PL"/>
              </w:rPr>
              <w:t xml:space="preserve">w wersji pierwotnej </w:t>
            </w:r>
            <w:r>
              <w:rPr>
                <w:rFonts w:ascii="Times New Roman" w:eastAsia="Times New Roman" w:hAnsi="Times New Roman" w:cs="Times New Roman"/>
                <w:lang w:eastAsia="pl-PL"/>
              </w:rPr>
              <w:t xml:space="preserve">powołano w nim </w:t>
            </w:r>
            <w:r>
              <w:t xml:space="preserve"> </w:t>
            </w:r>
            <w:r w:rsidRPr="00B638B5">
              <w:rPr>
                <w:rFonts w:ascii="Times New Roman" w:eastAsia="Times New Roman" w:hAnsi="Times New Roman" w:cs="Times New Roman"/>
                <w:lang w:eastAsia="pl-PL"/>
              </w:rPr>
              <w:t>art. 23 i 39 ustawy z dnia 18 wr</w:t>
            </w:r>
            <w:r>
              <w:rPr>
                <w:rFonts w:ascii="Times New Roman" w:eastAsia="Times New Roman" w:hAnsi="Times New Roman" w:cs="Times New Roman"/>
                <w:lang w:eastAsia="pl-PL"/>
              </w:rPr>
              <w:t xml:space="preserve">ześnia 2001 r. – Kodeks morski; </w:t>
            </w:r>
            <w:r w:rsidRPr="00B638B5">
              <w:rPr>
                <w:rFonts w:ascii="Times New Roman" w:eastAsia="Times New Roman" w:hAnsi="Times New Roman" w:cs="Times New Roman"/>
                <w:lang w:eastAsia="pl-PL"/>
              </w:rPr>
              <w:t>Dz. U. z 2018 r. poz. 2175)</w:t>
            </w:r>
          </w:p>
          <w:p w14:paraId="1DB15FF7" w14:textId="72824FEC" w:rsidR="00D077EE" w:rsidRDefault="00D077EE"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D54531">
              <w:rPr>
                <w:rFonts w:ascii="Times New Roman" w:eastAsia="Times New Roman" w:hAnsi="Times New Roman" w:cs="Times New Roman"/>
                <w:lang w:eastAsia="pl-PL"/>
              </w:rPr>
              <w:t xml:space="preserve"> </w:t>
            </w:r>
            <w:r w:rsidR="000B3EE1">
              <w:rPr>
                <w:rFonts w:ascii="Times New Roman" w:eastAsia="Times New Roman" w:hAnsi="Times New Roman" w:cs="Times New Roman"/>
                <w:lang w:eastAsia="pl-PL"/>
              </w:rPr>
              <w:t xml:space="preserve">w ww. zakresie </w:t>
            </w:r>
            <w:r w:rsidR="00D54531">
              <w:rPr>
                <w:rFonts w:ascii="Times New Roman" w:eastAsia="Times New Roman" w:hAnsi="Times New Roman" w:cs="Times New Roman"/>
                <w:lang w:eastAsia="pl-PL"/>
              </w:rPr>
              <w:t xml:space="preserve">dokonano </w:t>
            </w:r>
            <w:r>
              <w:rPr>
                <w:rFonts w:ascii="Times New Roman" w:eastAsia="Times New Roman" w:hAnsi="Times New Roman" w:cs="Times New Roman"/>
                <w:lang w:eastAsia="pl-PL"/>
              </w:rPr>
              <w:t xml:space="preserve">także autokorekty redakcyjnej </w:t>
            </w:r>
            <w:r w:rsidR="000B3EE1">
              <w:rPr>
                <w:rFonts w:ascii="Times New Roman" w:eastAsia="Times New Roman" w:hAnsi="Times New Roman" w:cs="Times New Roman"/>
                <w:lang w:eastAsia="pl-PL"/>
              </w:rPr>
              <w:t>– zgodnie z art. 46 ust. 1 rozporządzenia 2018/1862</w:t>
            </w:r>
          </w:p>
          <w:p w14:paraId="6E1B8E89" w14:textId="77777777" w:rsidR="00175849" w:rsidRDefault="00D077EE" w:rsidP="00C019E3">
            <w:pPr>
              <w:spacing w:after="0" w:line="276" w:lineRule="auto"/>
              <w:jc w:val="both"/>
              <w:rPr>
                <w:rFonts w:ascii="Times New Roman" w:eastAsia="Times New Roman" w:hAnsi="Times New Roman" w:cs="Times New Roman"/>
                <w:lang w:eastAsia="pl-PL"/>
              </w:rPr>
            </w:pPr>
            <w:r w:rsidRPr="000B3EE1">
              <w:rPr>
                <w:rFonts w:ascii="Times New Roman" w:eastAsia="Times New Roman" w:hAnsi="Times New Roman" w:cs="Times New Roman"/>
                <w:lang w:eastAsia="pl-PL"/>
              </w:rPr>
              <w:t xml:space="preserve">- dokonano </w:t>
            </w:r>
            <w:r w:rsidR="00D54531" w:rsidRPr="000B3EE1">
              <w:rPr>
                <w:rFonts w:ascii="Times New Roman" w:eastAsia="Times New Roman" w:hAnsi="Times New Roman" w:cs="Times New Roman"/>
                <w:lang w:eastAsia="pl-PL"/>
              </w:rPr>
              <w:t>korekty uzasadnienia projektu i OSR</w:t>
            </w:r>
          </w:p>
          <w:p w14:paraId="2152222B" w14:textId="43D31D77" w:rsidR="00E815B6" w:rsidRPr="00C2454A" w:rsidRDefault="00E815B6" w:rsidP="00014FF1">
            <w:pPr>
              <w:spacing w:after="0"/>
              <w:jc w:val="both"/>
              <w:rPr>
                <w:rFonts w:ascii="Times New Roman" w:eastAsia="Times New Roman" w:hAnsi="Times New Roman" w:cs="Times New Roman"/>
                <w:lang w:eastAsia="pl-PL"/>
              </w:rPr>
            </w:pPr>
          </w:p>
        </w:tc>
      </w:tr>
      <w:tr w:rsidR="00F56BEA" w:rsidRPr="00C2454A" w14:paraId="6383EBED" w14:textId="77777777" w:rsidTr="008B02CF">
        <w:tc>
          <w:tcPr>
            <w:tcW w:w="562" w:type="dxa"/>
            <w:shd w:val="clear" w:color="auto" w:fill="auto"/>
            <w:vAlign w:val="center"/>
          </w:tcPr>
          <w:p w14:paraId="774423C5" w14:textId="38BB3B42" w:rsidR="00F56BEA" w:rsidRPr="00477088" w:rsidRDefault="00F56BEA"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0C1D41F1" w14:textId="74DD2358" w:rsidR="00F56BEA" w:rsidRPr="00C2454A" w:rsidRDefault="00F56BEA" w:rsidP="00F56BEA">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MI</w:t>
            </w:r>
          </w:p>
        </w:tc>
        <w:tc>
          <w:tcPr>
            <w:tcW w:w="1394" w:type="dxa"/>
            <w:shd w:val="clear" w:color="auto" w:fill="auto"/>
            <w:vAlign w:val="center"/>
          </w:tcPr>
          <w:p w14:paraId="59777A50" w14:textId="08DA574D" w:rsidR="00F56BEA" w:rsidRPr="00C2454A" w:rsidRDefault="00F56BEA"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zmiany następcze</w:t>
            </w:r>
          </w:p>
        </w:tc>
        <w:tc>
          <w:tcPr>
            <w:tcW w:w="6897" w:type="dxa"/>
            <w:shd w:val="clear" w:color="auto" w:fill="auto"/>
          </w:tcPr>
          <w:p w14:paraId="579C3F01" w14:textId="092204BF" w:rsidR="00F56BEA" w:rsidRPr="00C2454A" w:rsidRDefault="00F56BEA" w:rsidP="006B368C">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wymagana jest analiza i plan w zakresie zmian w sferze organizacyjno-prawnej dot. procedury rejestracji z uwzględnieniem potrzeby sprawdzenia statusu jednostki w SIS przed rejestracją  i udokumentowania ww. czynności – t</w:t>
            </w:r>
            <w:r w:rsidR="006B368C">
              <w:rPr>
                <w:rFonts w:ascii="Times New Roman" w:eastAsia="Times New Roman" w:hAnsi="Times New Roman" w:cs="Times New Roman"/>
                <w:lang w:eastAsia="pl-PL"/>
              </w:rPr>
              <w:t xml:space="preserve">j.: </w:t>
            </w:r>
            <w:r w:rsidRPr="00C2454A">
              <w:rPr>
                <w:rFonts w:ascii="Times New Roman" w:eastAsia="Times New Roman" w:hAnsi="Times New Roman" w:cs="Times New Roman"/>
                <w:lang w:eastAsia="pl-PL"/>
              </w:rPr>
              <w:t>uzupełnienia prawa krajowego o obowiązek „odpytania SIS” za pośrednictwem KGP przez organ rejestrujący przed rejestracją i umieszczenia w aktach sprawy potwierdzenia o pr</w:t>
            </w:r>
            <w:r w:rsidR="006B368C">
              <w:rPr>
                <w:rFonts w:ascii="Times New Roman" w:eastAsia="Times New Roman" w:hAnsi="Times New Roman" w:cs="Times New Roman"/>
                <w:lang w:eastAsia="pl-PL"/>
              </w:rPr>
              <w:t xml:space="preserve">zeprowadzeniu weryfikacji w SIS oraz </w:t>
            </w:r>
            <w:r w:rsidRPr="00C2454A">
              <w:rPr>
                <w:rFonts w:ascii="Times New Roman" w:eastAsia="Times New Roman" w:hAnsi="Times New Roman" w:cs="Times New Roman"/>
                <w:lang w:eastAsia="pl-PL"/>
              </w:rPr>
              <w:t>określenie czasu otrzymania odpowiedzi od or</w:t>
            </w:r>
            <w:r w:rsidR="006B368C">
              <w:rPr>
                <w:rFonts w:ascii="Times New Roman" w:eastAsia="Times New Roman" w:hAnsi="Times New Roman" w:cs="Times New Roman"/>
                <w:lang w:eastAsia="pl-PL"/>
              </w:rPr>
              <w:t xml:space="preserve">ganu pośredniczącego, a także wprowadzenia regulacji co do </w:t>
            </w:r>
            <w:r w:rsidR="006B368C" w:rsidRPr="00C2454A">
              <w:rPr>
                <w:rFonts w:ascii="Times New Roman" w:hAnsi="Times New Roman" w:cs="Times New Roman"/>
              </w:rPr>
              <w:t xml:space="preserve">następstw prawnych </w:t>
            </w:r>
            <w:r w:rsidR="006B368C">
              <w:rPr>
                <w:rFonts w:ascii="Times New Roman" w:hAnsi="Times New Roman" w:cs="Times New Roman"/>
              </w:rPr>
              <w:t xml:space="preserve">wynikających z </w:t>
            </w:r>
            <w:r w:rsidR="006B368C" w:rsidRPr="00C2454A">
              <w:rPr>
                <w:rFonts w:ascii="Times New Roman" w:hAnsi="Times New Roman" w:cs="Times New Roman"/>
              </w:rPr>
              <w:t>uzyskanego w wyniku zapytania „trafienia</w:t>
            </w:r>
            <w:r w:rsidR="006B368C">
              <w:rPr>
                <w:rFonts w:ascii="Times New Roman" w:hAnsi="Times New Roman" w:cs="Times New Roman"/>
              </w:rPr>
              <w:t>”</w:t>
            </w:r>
          </w:p>
        </w:tc>
        <w:tc>
          <w:tcPr>
            <w:tcW w:w="5128" w:type="dxa"/>
            <w:shd w:val="clear" w:color="auto" w:fill="auto"/>
          </w:tcPr>
          <w:p w14:paraId="396EAF44" w14:textId="5B7C47F5" w:rsidR="008B02CF" w:rsidRDefault="006B6C9F" w:rsidP="00463D3B">
            <w:pPr>
              <w:spacing w:after="0"/>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693E16D8" w14:textId="3E14A79B" w:rsidR="00F56BEA" w:rsidRPr="00C2454A" w:rsidRDefault="006B368C" w:rsidP="00463D3B">
            <w:pPr>
              <w:spacing w:after="0"/>
              <w:jc w:val="both"/>
              <w:rPr>
                <w:rFonts w:ascii="Times New Roman" w:hAnsi="Times New Roman" w:cs="Times New Roman"/>
              </w:rPr>
            </w:pPr>
            <w:r>
              <w:rPr>
                <w:rFonts w:ascii="Times New Roman" w:eastAsia="Times New Roman" w:hAnsi="Times New Roman" w:cs="Times New Roman"/>
                <w:lang w:eastAsia="pl-PL"/>
              </w:rPr>
              <w:t xml:space="preserve">- </w:t>
            </w:r>
            <w:r w:rsidR="00F56BEA" w:rsidRPr="00C2454A">
              <w:rPr>
                <w:rFonts w:ascii="Times New Roman" w:hAnsi="Times New Roman" w:cs="Times New Roman"/>
              </w:rPr>
              <w:t xml:space="preserve">wobec literalnego brzmienia regulacji rozporządzenia UE 2018/1862, które odnoszą się wyłącznie do uprawnień dostępowych, </w:t>
            </w:r>
            <w:r w:rsidR="00463D3B">
              <w:rPr>
                <w:rFonts w:ascii="Times New Roman" w:hAnsi="Times New Roman" w:cs="Times New Roman"/>
              </w:rPr>
              <w:t>obowiązek weryfikacyjny wynika z</w:t>
            </w:r>
            <w:r w:rsidR="00F56BEA" w:rsidRPr="00C2454A">
              <w:rPr>
                <w:rFonts w:ascii="Times New Roman" w:hAnsi="Times New Roman" w:cs="Times New Roman"/>
              </w:rPr>
              <w:t xml:space="preserve"> obowiązku dochowania należytej staranności przez organ administracji publicznej w procesie przeprowadzanej rejestracji oraz koniecznego zaangażowania w procedury poszukiwawcze na terenie strefy </w:t>
            </w:r>
            <w:proofErr w:type="spellStart"/>
            <w:r w:rsidR="00F56BEA" w:rsidRPr="00C2454A">
              <w:rPr>
                <w:rFonts w:ascii="Times New Roman" w:hAnsi="Times New Roman" w:cs="Times New Roman"/>
              </w:rPr>
              <w:t>Sch</w:t>
            </w:r>
            <w:r w:rsidR="00463D3B">
              <w:rPr>
                <w:rFonts w:ascii="Times New Roman" w:hAnsi="Times New Roman" w:cs="Times New Roman"/>
              </w:rPr>
              <w:t>engen</w:t>
            </w:r>
            <w:proofErr w:type="spellEnd"/>
            <w:r w:rsidR="00463D3B">
              <w:rPr>
                <w:rFonts w:ascii="Times New Roman" w:hAnsi="Times New Roman" w:cs="Times New Roman"/>
              </w:rPr>
              <w:t>, które urzeczywistnia SIS;</w:t>
            </w:r>
          </w:p>
          <w:p w14:paraId="4FEDC0C7" w14:textId="7967B0D6" w:rsidR="00463D3B" w:rsidRDefault="00F56BEA" w:rsidP="00E31D54">
            <w:pPr>
              <w:spacing w:after="0"/>
              <w:jc w:val="both"/>
              <w:rPr>
                <w:rFonts w:ascii="Times New Roman" w:hAnsi="Times New Roman" w:cs="Times New Roman"/>
              </w:rPr>
            </w:pPr>
            <w:r w:rsidRPr="006B368C">
              <w:rPr>
                <w:rFonts w:ascii="Times New Roman" w:hAnsi="Times New Roman" w:cs="Times New Roman"/>
              </w:rPr>
              <w:t>-</w:t>
            </w:r>
            <w:r w:rsidR="00463D3B" w:rsidRPr="006B368C">
              <w:rPr>
                <w:rFonts w:ascii="Times New Roman" w:hAnsi="Times New Roman" w:cs="Times New Roman"/>
              </w:rPr>
              <w:t xml:space="preserve"> aktualnie nie przewidziano w projekcie </w:t>
            </w:r>
            <w:r w:rsidR="006B368C" w:rsidRPr="006B368C">
              <w:rPr>
                <w:rFonts w:ascii="Times New Roman" w:hAnsi="Times New Roman" w:cs="Times New Roman"/>
              </w:rPr>
              <w:t xml:space="preserve">możliwości wprowadzenia </w:t>
            </w:r>
            <w:r w:rsidR="00AE1BDC">
              <w:rPr>
                <w:rFonts w:ascii="Times New Roman" w:hAnsi="Times New Roman" w:cs="Times New Roman"/>
              </w:rPr>
              <w:t xml:space="preserve">zmian w innych ustawach; </w:t>
            </w:r>
            <w:r w:rsidR="006B368C">
              <w:rPr>
                <w:rFonts w:ascii="Times New Roman" w:hAnsi="Times New Roman" w:cs="Times New Roman"/>
              </w:rPr>
              <w:t xml:space="preserve">konieczność </w:t>
            </w:r>
            <w:r w:rsidR="00AE1BDC">
              <w:rPr>
                <w:rFonts w:ascii="Times New Roman" w:hAnsi="Times New Roman" w:cs="Times New Roman"/>
              </w:rPr>
              <w:t>objęcia ich projektem na późniejszym etapie prac.</w:t>
            </w:r>
          </w:p>
          <w:p w14:paraId="04203AFF" w14:textId="394C16FA" w:rsidR="00F56BEA" w:rsidRPr="00A97E46" w:rsidRDefault="00F56BEA" w:rsidP="00A97E46">
            <w:pPr>
              <w:jc w:val="both"/>
              <w:rPr>
                <w:rFonts w:ascii="Times New Roman" w:hAnsi="Times New Roman" w:cs="Times New Roman"/>
              </w:rPr>
            </w:pPr>
          </w:p>
        </w:tc>
      </w:tr>
      <w:tr w:rsidR="00F56BEA" w:rsidRPr="00C2454A" w14:paraId="2C47B0AA" w14:textId="77777777" w:rsidTr="008B02CF">
        <w:tc>
          <w:tcPr>
            <w:tcW w:w="562" w:type="dxa"/>
            <w:shd w:val="clear" w:color="auto" w:fill="auto"/>
            <w:vAlign w:val="center"/>
          </w:tcPr>
          <w:p w14:paraId="7B77E654" w14:textId="664698E5" w:rsidR="00F56BEA" w:rsidRPr="00406A59" w:rsidRDefault="00F56BEA"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41CC2026" w14:textId="52D9A82D" w:rsidR="00F56BEA" w:rsidRPr="00C2454A" w:rsidRDefault="00776789" w:rsidP="00776789">
            <w:pPr>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MI</w:t>
            </w:r>
          </w:p>
        </w:tc>
        <w:tc>
          <w:tcPr>
            <w:tcW w:w="1394" w:type="dxa"/>
            <w:shd w:val="clear" w:color="auto" w:fill="auto"/>
            <w:vAlign w:val="center"/>
          </w:tcPr>
          <w:p w14:paraId="4EFA208E" w14:textId="0F4A2EE6" w:rsidR="00F56BEA" w:rsidRPr="00C2454A" w:rsidRDefault="00406A59" w:rsidP="00406A59">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OSR </w:t>
            </w:r>
          </w:p>
        </w:tc>
        <w:tc>
          <w:tcPr>
            <w:tcW w:w="6897" w:type="dxa"/>
            <w:shd w:val="clear" w:color="auto" w:fill="auto"/>
          </w:tcPr>
          <w:p w14:paraId="1A32FE15" w14:textId="3B8291E7" w:rsidR="00F56BEA" w:rsidRPr="00C2454A" w:rsidRDefault="00F56BEA"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 </w:t>
            </w:r>
            <w:r w:rsidRPr="00A46BFF">
              <w:rPr>
                <w:rFonts w:ascii="Times New Roman" w:eastAsia="Times New Roman" w:hAnsi="Times New Roman" w:cs="Times New Roman"/>
                <w:lang w:eastAsia="pl-PL"/>
              </w:rPr>
              <w:t>uzupełnienie o koszty dostosowania</w:t>
            </w:r>
            <w:r w:rsidRPr="00C2454A">
              <w:rPr>
                <w:rFonts w:ascii="Times New Roman" w:eastAsia="Times New Roman" w:hAnsi="Times New Roman" w:cs="Times New Roman"/>
                <w:lang w:eastAsia="pl-PL"/>
              </w:rPr>
              <w:t xml:space="preserve"> pod względem proceduralnym i technicznym po stronie OR i Systemu Reja24 - w sposób uwzględniający </w:t>
            </w:r>
            <w:r w:rsidRPr="00C2454A">
              <w:rPr>
                <w:rFonts w:ascii="Times New Roman" w:eastAsia="Times New Roman" w:hAnsi="Times New Roman" w:cs="Times New Roman"/>
                <w:lang w:eastAsia="pl-PL"/>
              </w:rPr>
              <w:lastRenderedPageBreak/>
              <w:t>nowe obowiązki organów rejestrujących, co wymaga poprzedzenia analizą poziomu nakładów finansowych, organizacyjnych, sprzętowych i czasowych z tym związanych</w:t>
            </w:r>
          </w:p>
          <w:p w14:paraId="6CBFBDC0" w14:textId="6C8C9F9A" w:rsidR="00F56BEA" w:rsidRPr="00C2454A" w:rsidRDefault="00F56BEA" w:rsidP="004D49D3">
            <w:pPr>
              <w:spacing w:after="0" w:line="276" w:lineRule="auto"/>
              <w:jc w:val="both"/>
              <w:rPr>
                <w:rFonts w:ascii="Times New Roman" w:eastAsia="Times New Roman" w:hAnsi="Times New Roman" w:cs="Times New Roman"/>
                <w:lang w:eastAsia="pl-PL"/>
              </w:rPr>
            </w:pPr>
          </w:p>
        </w:tc>
        <w:tc>
          <w:tcPr>
            <w:tcW w:w="5128" w:type="dxa"/>
            <w:shd w:val="clear" w:color="auto" w:fill="auto"/>
          </w:tcPr>
          <w:p w14:paraId="4FF67F3B" w14:textId="3A69963A" w:rsidR="006B6C9F" w:rsidRDefault="006B6C9F" w:rsidP="006B6C9F">
            <w:pP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20099FE4" w14:textId="3E7BEA14" w:rsidR="00F15F57" w:rsidRPr="00406A59" w:rsidRDefault="006B6C9F" w:rsidP="006B6C9F">
            <w:pP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uwagę </w:t>
            </w:r>
            <w:r w:rsidR="00A46BFF">
              <w:rPr>
                <w:rFonts w:ascii="Times New Roman" w:eastAsia="Times New Roman" w:hAnsi="Times New Roman" w:cs="Times New Roman"/>
                <w:lang w:eastAsia="pl-PL"/>
              </w:rPr>
              <w:t>u</w:t>
            </w:r>
            <w:r w:rsidR="00303976" w:rsidRPr="00406A59">
              <w:rPr>
                <w:rFonts w:ascii="Times New Roman" w:eastAsia="Times New Roman" w:hAnsi="Times New Roman" w:cs="Times New Roman"/>
                <w:lang w:eastAsia="pl-PL"/>
              </w:rPr>
              <w:t>względniono</w:t>
            </w:r>
            <w:r w:rsidR="00A46BFF">
              <w:rPr>
                <w:rFonts w:ascii="Times New Roman" w:eastAsia="Times New Roman" w:hAnsi="Times New Roman" w:cs="Times New Roman"/>
                <w:lang w:eastAsia="pl-PL"/>
              </w:rPr>
              <w:t xml:space="preserve"> </w:t>
            </w:r>
            <w:r w:rsidR="00303976">
              <w:rPr>
                <w:rFonts w:ascii="Times New Roman" w:eastAsia="Times New Roman" w:hAnsi="Times New Roman" w:cs="Times New Roman"/>
                <w:lang w:eastAsia="pl-PL"/>
              </w:rPr>
              <w:t xml:space="preserve">- w pkt 6 OSR i </w:t>
            </w:r>
            <w:r w:rsidR="00406A59">
              <w:rPr>
                <w:rFonts w:ascii="Times New Roman" w:eastAsia="Times New Roman" w:hAnsi="Times New Roman" w:cs="Times New Roman"/>
                <w:lang w:eastAsia="pl-PL"/>
              </w:rPr>
              <w:t xml:space="preserve">załączonej do OSR </w:t>
            </w:r>
            <w:r w:rsidR="00303976">
              <w:rPr>
                <w:rFonts w:ascii="Times New Roman" w:eastAsia="Times New Roman" w:hAnsi="Times New Roman" w:cs="Times New Roman"/>
                <w:lang w:eastAsia="pl-PL"/>
              </w:rPr>
              <w:t xml:space="preserve">tabeli – </w:t>
            </w:r>
            <w:r w:rsidR="00406A59">
              <w:rPr>
                <w:rFonts w:ascii="Times New Roman" w:eastAsia="Times New Roman" w:hAnsi="Times New Roman" w:cs="Times New Roman"/>
                <w:lang w:eastAsia="pl-PL"/>
              </w:rPr>
              <w:t xml:space="preserve">z uwagi na brak możliwość oszacowania kosztów przez gestora systemu REJA24 </w:t>
            </w:r>
            <w:r w:rsidR="00406A59" w:rsidRPr="00A46BFF">
              <w:rPr>
                <w:rFonts w:ascii="Times New Roman" w:eastAsia="Times New Roman" w:hAnsi="Times New Roman" w:cs="Times New Roman"/>
                <w:lang w:eastAsia="pl-PL"/>
              </w:rPr>
              <w:t>szacunkową wycenę kosztów wskazał projektodawca</w:t>
            </w:r>
            <w:r w:rsidR="00406A59">
              <w:rPr>
                <w:rFonts w:ascii="Times New Roman" w:eastAsia="Times New Roman" w:hAnsi="Times New Roman" w:cs="Times New Roman"/>
                <w:lang w:eastAsia="pl-PL"/>
              </w:rPr>
              <w:t xml:space="preserve"> – kierując się danymi wskazanymi przez innych użytkowników dostosowujących swoje systemy </w:t>
            </w:r>
          </w:p>
        </w:tc>
      </w:tr>
      <w:tr w:rsidR="00F56BEA" w:rsidRPr="00C2454A" w14:paraId="13E8AB5C" w14:textId="77777777" w:rsidTr="00F00FE9">
        <w:tc>
          <w:tcPr>
            <w:tcW w:w="562" w:type="dxa"/>
            <w:tcBorders>
              <w:bottom w:val="single" w:sz="24" w:space="0" w:color="auto"/>
            </w:tcBorders>
            <w:shd w:val="clear" w:color="auto" w:fill="auto"/>
            <w:vAlign w:val="center"/>
          </w:tcPr>
          <w:p w14:paraId="62287AE6" w14:textId="4993982A" w:rsidR="00F56BEA" w:rsidRPr="00F15F57" w:rsidRDefault="00F56BEA"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24" w:space="0" w:color="auto"/>
            </w:tcBorders>
            <w:shd w:val="clear" w:color="auto" w:fill="auto"/>
            <w:vAlign w:val="center"/>
          </w:tcPr>
          <w:p w14:paraId="45FFC377" w14:textId="0315B685" w:rsidR="00F56BEA" w:rsidRPr="00C2454A" w:rsidRDefault="00776789" w:rsidP="00776789">
            <w:pPr>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MI</w:t>
            </w:r>
          </w:p>
        </w:tc>
        <w:tc>
          <w:tcPr>
            <w:tcW w:w="1394" w:type="dxa"/>
            <w:tcBorders>
              <w:bottom w:val="single" w:sz="24" w:space="0" w:color="auto"/>
            </w:tcBorders>
            <w:shd w:val="clear" w:color="auto" w:fill="auto"/>
            <w:vAlign w:val="center"/>
          </w:tcPr>
          <w:p w14:paraId="64ADE576" w14:textId="77777777" w:rsidR="00F56BEA" w:rsidRPr="00C2454A" w:rsidRDefault="00F56BEA" w:rsidP="000F5D7F">
            <w:pPr>
              <w:spacing w:after="0" w:line="276" w:lineRule="auto"/>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termin wejścia      </w:t>
            </w:r>
          </w:p>
          <w:p w14:paraId="7FFA7402" w14:textId="06B18E54" w:rsidR="00F56BEA" w:rsidRPr="00C2454A" w:rsidRDefault="00F56BEA" w:rsidP="000F5D7F">
            <w:pPr>
              <w:spacing w:after="0" w:line="276" w:lineRule="auto"/>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w życie ustawy</w:t>
            </w:r>
          </w:p>
        </w:tc>
        <w:tc>
          <w:tcPr>
            <w:tcW w:w="6897" w:type="dxa"/>
            <w:tcBorders>
              <w:bottom w:val="single" w:sz="24" w:space="0" w:color="auto"/>
            </w:tcBorders>
            <w:shd w:val="clear" w:color="auto" w:fill="auto"/>
          </w:tcPr>
          <w:p w14:paraId="46417161" w14:textId="6A4EBA44" w:rsidR="00AF5867" w:rsidRDefault="00F56BEA"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 </w:t>
            </w:r>
            <w:r w:rsidR="00F15F57">
              <w:rPr>
                <w:rFonts w:ascii="Times New Roman" w:eastAsia="Times New Roman" w:hAnsi="Times New Roman" w:cs="Times New Roman"/>
                <w:lang w:eastAsia="pl-PL"/>
              </w:rPr>
              <w:t xml:space="preserve">termin </w:t>
            </w:r>
            <w:r w:rsidRPr="00C2454A">
              <w:rPr>
                <w:rFonts w:ascii="Times New Roman" w:eastAsia="Times New Roman" w:hAnsi="Times New Roman" w:cs="Times New Roman"/>
                <w:lang w:eastAsia="pl-PL"/>
              </w:rPr>
              <w:t>14 dni od ogłoszenia ustawy jest terminem niemożli</w:t>
            </w:r>
            <w:r w:rsidR="00F15F57">
              <w:rPr>
                <w:rFonts w:ascii="Times New Roman" w:eastAsia="Times New Roman" w:hAnsi="Times New Roman" w:cs="Times New Roman"/>
                <w:lang w:eastAsia="pl-PL"/>
              </w:rPr>
              <w:t xml:space="preserve">wym do zrealizowania z uwagi na </w:t>
            </w:r>
            <w:r w:rsidRPr="00C2454A">
              <w:rPr>
                <w:rFonts w:ascii="Times New Roman" w:eastAsia="Times New Roman" w:hAnsi="Times New Roman" w:cs="Times New Roman"/>
                <w:lang w:eastAsia="pl-PL"/>
              </w:rPr>
              <w:t>brak dostosow</w:t>
            </w:r>
            <w:r w:rsidR="00F15F57">
              <w:rPr>
                <w:rFonts w:ascii="Times New Roman" w:eastAsia="Times New Roman" w:hAnsi="Times New Roman" w:cs="Times New Roman"/>
                <w:lang w:eastAsia="pl-PL"/>
              </w:rPr>
              <w:t>ania procedur rejestracji oraz</w:t>
            </w:r>
            <w:r w:rsidRPr="00C2454A">
              <w:rPr>
                <w:rFonts w:ascii="Times New Roman" w:eastAsia="Times New Roman" w:hAnsi="Times New Roman" w:cs="Times New Roman"/>
                <w:lang w:eastAsia="pl-PL"/>
              </w:rPr>
              <w:t xml:space="preserve"> brak przygotowania organów rejestrujących</w:t>
            </w:r>
          </w:p>
          <w:p w14:paraId="19CABF79" w14:textId="77777777" w:rsidR="00AF5867" w:rsidRPr="00AF5867" w:rsidRDefault="00AF5867" w:rsidP="00AF5867">
            <w:pPr>
              <w:rPr>
                <w:rFonts w:ascii="Times New Roman" w:eastAsia="Times New Roman" w:hAnsi="Times New Roman" w:cs="Times New Roman"/>
                <w:lang w:eastAsia="pl-PL"/>
              </w:rPr>
            </w:pPr>
          </w:p>
          <w:p w14:paraId="7C7A6574" w14:textId="77777777" w:rsidR="00F56BEA" w:rsidRPr="00AF5867" w:rsidRDefault="00F56BEA" w:rsidP="00F15F57">
            <w:pPr>
              <w:rPr>
                <w:rFonts w:ascii="Times New Roman" w:eastAsia="Times New Roman" w:hAnsi="Times New Roman" w:cs="Times New Roman"/>
                <w:lang w:eastAsia="pl-PL"/>
              </w:rPr>
            </w:pPr>
          </w:p>
        </w:tc>
        <w:tc>
          <w:tcPr>
            <w:tcW w:w="5128" w:type="dxa"/>
            <w:tcBorders>
              <w:bottom w:val="single" w:sz="24" w:space="0" w:color="auto"/>
            </w:tcBorders>
            <w:shd w:val="clear" w:color="auto" w:fill="auto"/>
          </w:tcPr>
          <w:p w14:paraId="62F9F933" w14:textId="2AD9FA56" w:rsidR="006B2CF5" w:rsidRDefault="006B2CF5" w:rsidP="00F15F5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529508B7" w14:textId="62892E63" w:rsidR="00C632EB" w:rsidRDefault="00364240" w:rsidP="00F15F5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uwaga bezprzedmiotowa – vide konieczność objęcia projektem postulowanych przepisów dostosowawczych na późniejszym etapie prac</w:t>
            </w:r>
          </w:p>
          <w:p w14:paraId="3CDEBDFE" w14:textId="0BC4A920" w:rsidR="00745BD0" w:rsidRDefault="00364240" w:rsidP="00F15F5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dodatkowo: </w:t>
            </w:r>
            <w:r w:rsidR="00F15F57" w:rsidRPr="00F15F57">
              <w:rPr>
                <w:rFonts w:ascii="Times New Roman" w:eastAsia="Times New Roman" w:hAnsi="Times New Roman" w:cs="Times New Roman"/>
                <w:lang w:eastAsia="pl-PL"/>
              </w:rPr>
              <w:t>termin wejścia w życie znowelizowanej ustawy podyktowany jest wyznaczonym na poziomie UE terminem operacyjnego wdrożenia zmodernizowanego systemu – aktualnie połowa czerwca 2022 r.</w:t>
            </w:r>
            <w:r w:rsidR="00F15F57">
              <w:rPr>
                <w:rFonts w:ascii="Times New Roman" w:eastAsia="Times New Roman" w:hAnsi="Times New Roman" w:cs="Times New Roman"/>
                <w:lang w:eastAsia="pl-PL"/>
              </w:rPr>
              <w:t xml:space="preserve">, a rozporządzenie wiąże niezależnie od </w:t>
            </w:r>
            <w:r w:rsidR="00C632EB">
              <w:rPr>
                <w:rFonts w:ascii="Times New Roman" w:eastAsia="Times New Roman" w:hAnsi="Times New Roman" w:cs="Times New Roman"/>
                <w:lang w:eastAsia="pl-PL"/>
              </w:rPr>
              <w:t xml:space="preserve">krajowych prac </w:t>
            </w:r>
            <w:r w:rsidR="00F15F57">
              <w:rPr>
                <w:rFonts w:ascii="Times New Roman" w:eastAsia="Times New Roman" w:hAnsi="Times New Roman" w:cs="Times New Roman"/>
                <w:lang w:eastAsia="pl-PL"/>
              </w:rPr>
              <w:t>dostosowawczych</w:t>
            </w:r>
          </w:p>
          <w:p w14:paraId="4CD148F5" w14:textId="694CA83B" w:rsidR="00F15F57" w:rsidRPr="00F15F57" w:rsidRDefault="00F15F57" w:rsidP="00F15F57">
            <w:pPr>
              <w:spacing w:after="0" w:line="276" w:lineRule="auto"/>
              <w:jc w:val="both"/>
              <w:rPr>
                <w:rFonts w:ascii="Times New Roman" w:eastAsia="Times New Roman" w:hAnsi="Times New Roman" w:cs="Times New Roman"/>
                <w:lang w:eastAsia="pl-PL"/>
              </w:rPr>
            </w:pPr>
          </w:p>
        </w:tc>
      </w:tr>
      <w:tr w:rsidR="00F56BEA" w:rsidRPr="00C2454A" w14:paraId="5724F40A" w14:textId="77777777" w:rsidTr="00E15DF5">
        <w:tc>
          <w:tcPr>
            <w:tcW w:w="562" w:type="dxa"/>
            <w:tcBorders>
              <w:top w:val="single" w:sz="24" w:space="0" w:color="auto"/>
            </w:tcBorders>
            <w:shd w:val="clear" w:color="auto" w:fill="FFFFFF" w:themeFill="background1"/>
            <w:vAlign w:val="center"/>
          </w:tcPr>
          <w:p w14:paraId="5551447F" w14:textId="7E48BB80" w:rsidR="00F56BEA" w:rsidRPr="00490176" w:rsidRDefault="00F56BEA"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top w:val="single" w:sz="24" w:space="0" w:color="auto"/>
            </w:tcBorders>
            <w:shd w:val="clear" w:color="auto" w:fill="FFFFFF" w:themeFill="background1"/>
            <w:vAlign w:val="center"/>
          </w:tcPr>
          <w:p w14:paraId="29BD94B4" w14:textId="516D6B59" w:rsidR="00F56BEA" w:rsidRPr="00490176" w:rsidRDefault="00F56BEA" w:rsidP="00C019E3">
            <w:pPr>
              <w:spacing w:after="0" w:line="276" w:lineRule="auto"/>
              <w:jc w:val="both"/>
              <w:rPr>
                <w:rFonts w:ascii="Times New Roman" w:eastAsia="Times New Roman" w:hAnsi="Times New Roman" w:cs="Times New Roman"/>
                <w:lang w:eastAsia="pl-PL"/>
              </w:rPr>
            </w:pPr>
            <w:r w:rsidRPr="00490176">
              <w:rPr>
                <w:rFonts w:ascii="Times New Roman" w:eastAsia="Times New Roman" w:hAnsi="Times New Roman" w:cs="Times New Roman"/>
                <w:lang w:eastAsia="pl-PL"/>
              </w:rPr>
              <w:t>DBN-KPRM</w:t>
            </w:r>
          </w:p>
        </w:tc>
        <w:tc>
          <w:tcPr>
            <w:tcW w:w="1394" w:type="dxa"/>
            <w:tcBorders>
              <w:top w:val="single" w:sz="24" w:space="0" w:color="auto"/>
            </w:tcBorders>
            <w:shd w:val="clear" w:color="auto" w:fill="FFFFFF" w:themeFill="background1"/>
            <w:vAlign w:val="center"/>
          </w:tcPr>
          <w:p w14:paraId="283A8637" w14:textId="77777777" w:rsidR="00F56BEA" w:rsidRPr="00490176" w:rsidRDefault="00F56BEA" w:rsidP="00C019E3">
            <w:pPr>
              <w:spacing w:after="0" w:line="276" w:lineRule="auto"/>
              <w:jc w:val="both"/>
              <w:rPr>
                <w:rFonts w:ascii="Times New Roman" w:eastAsia="Times New Roman" w:hAnsi="Times New Roman" w:cs="Times New Roman"/>
                <w:lang w:eastAsia="pl-PL"/>
              </w:rPr>
            </w:pPr>
            <w:r w:rsidRPr="00490176">
              <w:rPr>
                <w:rFonts w:ascii="Times New Roman" w:eastAsia="Times New Roman" w:hAnsi="Times New Roman" w:cs="Times New Roman"/>
                <w:lang w:eastAsia="pl-PL"/>
              </w:rPr>
              <w:t xml:space="preserve">art. 3 </w:t>
            </w:r>
          </w:p>
          <w:p w14:paraId="4964A701" w14:textId="77777777" w:rsidR="00F56BEA" w:rsidRPr="00490176" w:rsidRDefault="00F56BEA" w:rsidP="00294A1E">
            <w:pPr>
              <w:spacing w:after="0" w:line="276" w:lineRule="auto"/>
              <w:jc w:val="both"/>
              <w:rPr>
                <w:rFonts w:ascii="Times New Roman" w:eastAsia="Times New Roman" w:hAnsi="Times New Roman" w:cs="Times New Roman"/>
                <w:lang w:eastAsia="pl-PL"/>
              </w:rPr>
            </w:pPr>
            <w:r w:rsidRPr="00490176">
              <w:rPr>
                <w:rFonts w:ascii="Times New Roman" w:eastAsia="Times New Roman" w:hAnsi="Times New Roman" w:cs="Times New Roman"/>
                <w:lang w:eastAsia="pl-PL"/>
              </w:rPr>
              <w:t xml:space="preserve">ust. 1 pkt 3 + art. 4 </w:t>
            </w:r>
          </w:p>
          <w:p w14:paraId="423AC7B6" w14:textId="77777777" w:rsidR="00F56BEA" w:rsidRPr="00490176" w:rsidRDefault="00F56BEA" w:rsidP="00294A1E">
            <w:pPr>
              <w:spacing w:after="0" w:line="276" w:lineRule="auto"/>
              <w:jc w:val="both"/>
              <w:rPr>
                <w:rFonts w:ascii="Times New Roman" w:eastAsia="Times New Roman" w:hAnsi="Times New Roman" w:cs="Times New Roman"/>
                <w:lang w:eastAsia="pl-PL"/>
              </w:rPr>
            </w:pPr>
            <w:r w:rsidRPr="00490176">
              <w:rPr>
                <w:rFonts w:ascii="Times New Roman" w:eastAsia="Times New Roman" w:hAnsi="Times New Roman" w:cs="Times New Roman"/>
                <w:lang w:eastAsia="pl-PL"/>
              </w:rPr>
              <w:t xml:space="preserve">ust. 1 pkt 3 (art. 1 </w:t>
            </w:r>
          </w:p>
          <w:p w14:paraId="68FE8BB0" w14:textId="640C5A8C" w:rsidR="00F56BEA" w:rsidRPr="00490176" w:rsidRDefault="00F56BEA" w:rsidP="00294A1E">
            <w:pPr>
              <w:spacing w:after="0" w:line="276" w:lineRule="auto"/>
              <w:jc w:val="both"/>
              <w:rPr>
                <w:rFonts w:ascii="Times New Roman" w:eastAsia="Times New Roman" w:hAnsi="Times New Roman" w:cs="Times New Roman"/>
                <w:lang w:eastAsia="pl-PL"/>
              </w:rPr>
            </w:pPr>
            <w:r w:rsidRPr="00490176">
              <w:rPr>
                <w:rFonts w:ascii="Times New Roman" w:eastAsia="Times New Roman" w:hAnsi="Times New Roman" w:cs="Times New Roman"/>
                <w:lang w:eastAsia="pl-PL"/>
              </w:rPr>
              <w:t>pkt 4 i 5 projektu).</w:t>
            </w:r>
          </w:p>
        </w:tc>
        <w:tc>
          <w:tcPr>
            <w:tcW w:w="6897" w:type="dxa"/>
            <w:tcBorders>
              <w:top w:val="single" w:sz="24" w:space="0" w:color="auto"/>
            </w:tcBorders>
            <w:shd w:val="clear" w:color="auto" w:fill="FFFFFF" w:themeFill="background1"/>
          </w:tcPr>
          <w:p w14:paraId="5CCCD523" w14:textId="1B19EA3F" w:rsidR="00F56BEA" w:rsidRPr="00E15DF5" w:rsidRDefault="00F56BEA" w:rsidP="00C019E3">
            <w:pPr>
              <w:spacing w:after="0" w:line="276" w:lineRule="auto"/>
              <w:jc w:val="both"/>
              <w:rPr>
                <w:rFonts w:ascii="Times New Roman" w:eastAsia="Times New Roman" w:hAnsi="Times New Roman" w:cs="Times New Roman"/>
                <w:lang w:eastAsia="pl-PL"/>
              </w:rPr>
            </w:pPr>
            <w:r w:rsidRPr="00490176">
              <w:rPr>
                <w:rFonts w:ascii="Times New Roman" w:eastAsia="Times New Roman" w:hAnsi="Times New Roman" w:cs="Times New Roman"/>
                <w:lang w:eastAsia="pl-PL"/>
              </w:rPr>
              <w:t>- konieczność</w:t>
            </w:r>
            <w:r w:rsidRPr="00490176">
              <w:rPr>
                <w:rFonts w:ascii="Times New Roman" w:hAnsi="Times New Roman" w:cs="Times New Roman"/>
              </w:rPr>
              <w:t xml:space="preserve"> </w:t>
            </w:r>
            <w:r w:rsidRPr="00490176">
              <w:rPr>
                <w:rFonts w:ascii="Times New Roman" w:eastAsia="Times New Roman" w:hAnsi="Times New Roman" w:cs="Times New Roman"/>
                <w:lang w:eastAsia="pl-PL"/>
              </w:rPr>
              <w:t>pozostawienia dotychczasowego zakresu wpisu danych SIS do KSI, tj</w:t>
            </w:r>
            <w:r w:rsidRPr="00E15DF5">
              <w:rPr>
                <w:rFonts w:ascii="Times New Roman" w:eastAsia="Times New Roman" w:hAnsi="Times New Roman" w:cs="Times New Roman"/>
                <w:lang w:eastAsia="pl-PL"/>
              </w:rPr>
              <w:t>. obejmującego także postępowanie karne skarbowe poprzez wskazanie go w treści powołanych przepisów;</w:t>
            </w:r>
          </w:p>
          <w:p w14:paraId="425CBFAB" w14:textId="346E8DA7" w:rsidR="00F56BEA" w:rsidRPr="00490176" w:rsidRDefault="00F56BEA" w:rsidP="00294A1E">
            <w:pPr>
              <w:spacing w:after="0" w:line="276" w:lineRule="auto"/>
              <w:jc w:val="both"/>
              <w:rPr>
                <w:rFonts w:ascii="Times New Roman" w:eastAsia="Times New Roman" w:hAnsi="Times New Roman" w:cs="Times New Roman"/>
                <w:lang w:eastAsia="pl-PL"/>
              </w:rPr>
            </w:pPr>
            <w:r w:rsidRPr="00E15DF5">
              <w:rPr>
                <w:rFonts w:ascii="Times New Roman" w:eastAsia="Times New Roman" w:hAnsi="Times New Roman" w:cs="Times New Roman"/>
                <w:lang w:eastAsia="pl-PL"/>
              </w:rPr>
              <w:t>U: projekt ogranicza (zawęża) zakres</w:t>
            </w:r>
            <w:r w:rsidRPr="00490176">
              <w:rPr>
                <w:rFonts w:ascii="Times New Roman" w:eastAsia="Times New Roman" w:hAnsi="Times New Roman" w:cs="Times New Roman"/>
                <w:lang w:eastAsia="pl-PL"/>
              </w:rPr>
              <w:t xml:space="preserve"> informacyjny wpisów danych SIS dokonywanych do KSI w stosunku do zakresu przewidzianego w obowiązujących przepisach – co dot. świadków i osób wzywanych do stawiennictwa przed sądem lub prokuratorem w celu umożliwienia ww. organom przeprowadzenia czynności procesowych- zgodnie z projektem dotyczyć to będzie wyłącznie przypadków, gdy wezwanie takie będzie pozostawać w związku z prowadzonym postępowaniem karnym, podczas gdy obowiązujące przepisy obejmują także postępowanie karne skarbowe;</w:t>
            </w:r>
          </w:p>
          <w:p w14:paraId="0841D806" w14:textId="7B34E5A9" w:rsidR="00F56BEA" w:rsidRPr="00490176" w:rsidRDefault="00F56BEA" w:rsidP="00860534">
            <w:pPr>
              <w:spacing w:after="0" w:line="276" w:lineRule="auto"/>
              <w:jc w:val="both"/>
              <w:rPr>
                <w:rFonts w:ascii="Times New Roman" w:eastAsia="Times New Roman" w:hAnsi="Times New Roman" w:cs="Times New Roman"/>
                <w:lang w:eastAsia="pl-PL"/>
              </w:rPr>
            </w:pPr>
            <w:r w:rsidRPr="00490176">
              <w:rPr>
                <w:rFonts w:ascii="Times New Roman" w:eastAsia="Times New Roman" w:hAnsi="Times New Roman" w:cs="Times New Roman"/>
                <w:lang w:eastAsia="pl-PL"/>
              </w:rPr>
              <w:t xml:space="preserve">- ww. powoduje ryzyko </w:t>
            </w:r>
            <w:r w:rsidRPr="00490176">
              <w:rPr>
                <w:rFonts w:ascii="Times New Roman" w:hAnsi="Times New Roman" w:cs="Times New Roman"/>
              </w:rPr>
              <w:t xml:space="preserve"> </w:t>
            </w:r>
            <w:r w:rsidRPr="00490176">
              <w:rPr>
                <w:rFonts w:ascii="Times New Roman" w:eastAsia="Times New Roman" w:hAnsi="Times New Roman" w:cs="Times New Roman"/>
                <w:lang w:eastAsia="pl-PL"/>
              </w:rPr>
              <w:t xml:space="preserve">istotnego utrudnienia wykonywania zadań przez służby mające w zakresie swych ustawowych kompetencji rozpoznawanie, </w:t>
            </w:r>
            <w:r w:rsidRPr="00490176">
              <w:rPr>
                <w:rFonts w:ascii="Times New Roman" w:eastAsia="Times New Roman" w:hAnsi="Times New Roman" w:cs="Times New Roman"/>
                <w:lang w:eastAsia="pl-PL"/>
              </w:rPr>
              <w:lastRenderedPageBreak/>
              <w:t>zapobieganie i wykrywanie przestępstw podlegających reżimowi Kodeksu karnego skarbowego (m.in. CBA - art. 2 ust. 1 pkt 1 lit. d) ustawy o CBA) z uwagi na pozbawienie skutecznego źródła informacji (zasilany na bieżąco zasób informacyjny KSI) + możliwość wystąpienia ryzyka nieskoordynowania podejmowanych przez nie działań.</w:t>
            </w:r>
          </w:p>
        </w:tc>
        <w:tc>
          <w:tcPr>
            <w:tcW w:w="5128" w:type="dxa"/>
            <w:tcBorders>
              <w:top w:val="single" w:sz="24" w:space="0" w:color="auto"/>
            </w:tcBorders>
            <w:shd w:val="clear" w:color="auto" w:fill="FFFFFF" w:themeFill="background1"/>
          </w:tcPr>
          <w:p w14:paraId="24A5998B" w14:textId="78DC9BB9" w:rsidR="0020600B" w:rsidRDefault="0020600B" w:rsidP="007A6358">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 – w tym uzgodniono też konieczność dostosowania treści lit. a pkt 11 ust. 1 art. 3 do treści pkt 3 ust. 1 art. 3 co do wyroków w sprawach o przestępstwo karne skarbowe;</w:t>
            </w:r>
          </w:p>
          <w:p w14:paraId="37050887" w14:textId="0B57BF0E" w:rsidR="00F56BEA" w:rsidRPr="00E15DF5" w:rsidRDefault="0020600B" w:rsidP="0020600B">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F56BEA" w:rsidRPr="00490176">
              <w:rPr>
                <w:rFonts w:ascii="Times New Roman" w:eastAsia="Times New Roman" w:hAnsi="Times New Roman" w:cs="Times New Roman"/>
                <w:lang w:eastAsia="pl-PL"/>
              </w:rPr>
              <w:t xml:space="preserve">uwzględniono </w:t>
            </w:r>
            <w:r>
              <w:rPr>
                <w:rFonts w:ascii="Times New Roman" w:eastAsia="Times New Roman" w:hAnsi="Times New Roman" w:cs="Times New Roman"/>
                <w:lang w:eastAsia="pl-PL"/>
              </w:rPr>
              <w:t xml:space="preserve">- </w:t>
            </w:r>
            <w:r w:rsidR="00C208B7">
              <w:rPr>
                <w:rFonts w:ascii="Times New Roman" w:eastAsia="Times New Roman" w:hAnsi="Times New Roman" w:cs="Times New Roman"/>
                <w:lang w:eastAsia="pl-PL"/>
              </w:rPr>
              <w:t>zmieniono treść przepisu oraz treść innych przepisów projektu dotyczących postępowania karnego</w:t>
            </w:r>
            <w:r>
              <w:rPr>
                <w:rFonts w:ascii="Times New Roman" w:eastAsia="Times New Roman" w:hAnsi="Times New Roman" w:cs="Times New Roman"/>
                <w:lang w:eastAsia="pl-PL"/>
              </w:rPr>
              <w:t>;</w:t>
            </w:r>
            <w:r w:rsidR="00C208B7">
              <w:rPr>
                <w:rFonts w:ascii="Times New Roman" w:eastAsia="Times New Roman" w:hAnsi="Times New Roman" w:cs="Times New Roman"/>
                <w:lang w:eastAsia="pl-PL"/>
              </w:rPr>
              <w:t xml:space="preserve"> dokonano korekty </w:t>
            </w:r>
            <w:r w:rsidR="008B2F15">
              <w:rPr>
                <w:rFonts w:ascii="Times New Roman" w:eastAsia="Times New Roman" w:hAnsi="Times New Roman" w:cs="Times New Roman"/>
                <w:lang w:eastAsia="pl-PL"/>
              </w:rPr>
              <w:t xml:space="preserve">uzasadnienia i </w:t>
            </w:r>
            <w:r w:rsidR="00E15DF5">
              <w:rPr>
                <w:rFonts w:ascii="Times New Roman" w:eastAsia="Times New Roman" w:hAnsi="Times New Roman" w:cs="Times New Roman"/>
                <w:lang w:eastAsia="pl-PL"/>
              </w:rPr>
              <w:t>OSR</w:t>
            </w:r>
          </w:p>
        </w:tc>
      </w:tr>
      <w:tr w:rsidR="00F56BEA" w:rsidRPr="00C2454A" w14:paraId="02480FB8" w14:textId="77777777" w:rsidTr="00F95364">
        <w:tc>
          <w:tcPr>
            <w:tcW w:w="562" w:type="dxa"/>
            <w:tcBorders>
              <w:top w:val="single" w:sz="24" w:space="0" w:color="auto"/>
            </w:tcBorders>
            <w:shd w:val="clear" w:color="auto" w:fill="auto"/>
            <w:vAlign w:val="center"/>
          </w:tcPr>
          <w:p w14:paraId="02B8E2B2" w14:textId="1EA6ECD4" w:rsidR="00F56BEA" w:rsidRPr="00DD67FC" w:rsidRDefault="00F56BEA"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top w:val="single" w:sz="24" w:space="0" w:color="auto"/>
            </w:tcBorders>
            <w:shd w:val="clear" w:color="auto" w:fill="auto"/>
            <w:vAlign w:val="center"/>
          </w:tcPr>
          <w:p w14:paraId="0D48E0B6" w14:textId="77777777" w:rsidR="00F56BEA" w:rsidRPr="00C2454A" w:rsidRDefault="00F56BEA"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PUODO</w:t>
            </w:r>
          </w:p>
          <w:p w14:paraId="09DD762C" w14:textId="07583D23" w:rsidR="00F56BEA" w:rsidRPr="00C2454A" w:rsidRDefault="00036FBB"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F56BEA" w:rsidRPr="00C2454A">
              <w:rPr>
                <w:rFonts w:ascii="Times New Roman" w:eastAsia="Times New Roman" w:hAnsi="Times New Roman" w:cs="Times New Roman"/>
                <w:lang w:eastAsia="pl-PL"/>
              </w:rPr>
              <w:t>rgan nadzorczy</w:t>
            </w:r>
          </w:p>
        </w:tc>
        <w:tc>
          <w:tcPr>
            <w:tcW w:w="1394" w:type="dxa"/>
            <w:tcBorders>
              <w:top w:val="single" w:sz="24" w:space="0" w:color="auto"/>
            </w:tcBorders>
            <w:shd w:val="clear" w:color="auto" w:fill="auto"/>
            <w:vAlign w:val="center"/>
          </w:tcPr>
          <w:p w14:paraId="69374CC8" w14:textId="77777777" w:rsidR="00F56BEA" w:rsidRPr="00C2454A" w:rsidRDefault="00F56BEA" w:rsidP="00862FDA">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ust. 5</w:t>
            </w:r>
          </w:p>
          <w:p w14:paraId="100B2F9C" w14:textId="63044D07" w:rsidR="00F56BEA" w:rsidRPr="00C2454A" w:rsidRDefault="00F56BEA" w:rsidP="00862FDA">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1 pkt 4 projektu)</w:t>
            </w:r>
          </w:p>
        </w:tc>
        <w:tc>
          <w:tcPr>
            <w:tcW w:w="6897" w:type="dxa"/>
            <w:tcBorders>
              <w:top w:val="single" w:sz="24" w:space="0" w:color="auto"/>
            </w:tcBorders>
            <w:shd w:val="clear" w:color="auto" w:fill="auto"/>
          </w:tcPr>
          <w:p w14:paraId="67EA2069" w14:textId="77777777" w:rsidR="00F56BEA" w:rsidRPr="006C09B7" w:rsidRDefault="00F56BEA" w:rsidP="00D23EE4">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Projekt w tym zakresie budzi wątpliwości z punktu widzenia zasad ochrony danych osobowych - celowa jest ponowna analiza zasadności jego wprowadzenia i rozważenie jego usunięcia.</w:t>
            </w:r>
          </w:p>
          <w:p w14:paraId="3FE226C6" w14:textId="04B8441E" w:rsidR="00F56BEA" w:rsidRPr="006C09B7" w:rsidRDefault="00F56BEA" w:rsidP="00D23EE4">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U:</w:t>
            </w:r>
          </w:p>
          <w:p w14:paraId="2CB81C44" w14:textId="77777777" w:rsidR="00F56BEA" w:rsidRPr="006C09B7" w:rsidRDefault="00F56BEA" w:rsidP="003D5C4E">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1/ skutkiem projektowanego brzmienia byłaby sytuacja, w której na jego podstawie liczne organy i formacje (wymienione w art. 3 ust. 1 pkt 1–11 ustawy, w brzmieniu nadanym przez art. 1 pkt 4 projektu) uzyskałyby prawo do legalnego przetwarzania bardzo szerokiego katalogu danych osobowych i to danych zróżnicowanych rodzajowo, tj. wskazanego w art. 4 ust. 1 </w:t>
            </w:r>
            <w:proofErr w:type="spellStart"/>
            <w:r w:rsidRPr="006C09B7">
              <w:rPr>
                <w:rFonts w:ascii="Times New Roman" w:eastAsia="Times New Roman" w:hAnsi="Times New Roman" w:cs="Times New Roman"/>
                <w:lang w:eastAsia="pl-PL"/>
              </w:rPr>
              <w:t>rozp</w:t>
            </w:r>
            <w:proofErr w:type="spellEnd"/>
            <w:r w:rsidRPr="006C09B7">
              <w:rPr>
                <w:rFonts w:ascii="Times New Roman" w:eastAsia="Times New Roman" w:hAnsi="Times New Roman" w:cs="Times New Roman"/>
                <w:lang w:eastAsia="pl-PL"/>
              </w:rPr>
              <w:t xml:space="preserve">. 2018/1860, art. 20 ust. 1 i 2 </w:t>
            </w:r>
            <w:proofErr w:type="spellStart"/>
            <w:r w:rsidRPr="006C09B7">
              <w:rPr>
                <w:rFonts w:ascii="Times New Roman" w:eastAsia="Times New Roman" w:hAnsi="Times New Roman" w:cs="Times New Roman"/>
                <w:lang w:eastAsia="pl-PL"/>
              </w:rPr>
              <w:t>rozp</w:t>
            </w:r>
            <w:proofErr w:type="spellEnd"/>
            <w:r w:rsidRPr="006C09B7">
              <w:rPr>
                <w:rFonts w:ascii="Times New Roman" w:eastAsia="Times New Roman" w:hAnsi="Times New Roman" w:cs="Times New Roman"/>
                <w:lang w:eastAsia="pl-PL"/>
              </w:rPr>
              <w:t xml:space="preserve">. 2018/1861 i art. 20 ust. 1-3 </w:t>
            </w:r>
            <w:proofErr w:type="spellStart"/>
            <w:r w:rsidRPr="006C09B7">
              <w:rPr>
                <w:rFonts w:ascii="Times New Roman" w:eastAsia="Times New Roman" w:hAnsi="Times New Roman" w:cs="Times New Roman"/>
                <w:lang w:eastAsia="pl-PL"/>
              </w:rPr>
              <w:t>rozp</w:t>
            </w:r>
            <w:proofErr w:type="spellEnd"/>
            <w:r w:rsidRPr="006C09B7">
              <w:rPr>
                <w:rFonts w:ascii="Times New Roman" w:eastAsia="Times New Roman" w:hAnsi="Times New Roman" w:cs="Times New Roman"/>
                <w:lang w:eastAsia="pl-PL"/>
              </w:rPr>
              <w:t xml:space="preserve">. 2018/1862 – zgodnie z  </w:t>
            </w:r>
            <w:r w:rsidRPr="006C09B7">
              <w:rPr>
                <w:rFonts w:ascii="Times New Roman" w:hAnsi="Times New Roman" w:cs="Times New Roman"/>
              </w:rPr>
              <w:t xml:space="preserve"> </w:t>
            </w:r>
            <w:r w:rsidRPr="006C09B7">
              <w:rPr>
                <w:rFonts w:ascii="Times New Roman" w:eastAsia="Times New Roman" w:hAnsi="Times New Roman" w:cs="Times New Roman"/>
                <w:lang w:eastAsia="pl-PL"/>
              </w:rPr>
              <w:t xml:space="preserve">art. 2 pkt 5 ustawy, w brzmieniu nadanym przez art. 1 pkt 2 lit. a projektu, w tym także należących do szczególnej kategorii danych osobowych w rozumieniu art. 9 ust. 1 </w:t>
            </w:r>
            <w:proofErr w:type="spellStart"/>
            <w:r w:rsidRPr="006C09B7">
              <w:rPr>
                <w:rFonts w:ascii="Times New Roman" w:eastAsia="Times New Roman" w:hAnsi="Times New Roman" w:cs="Times New Roman"/>
                <w:lang w:eastAsia="pl-PL"/>
              </w:rPr>
              <w:t>rozp</w:t>
            </w:r>
            <w:proofErr w:type="spellEnd"/>
            <w:r w:rsidRPr="006C09B7">
              <w:rPr>
                <w:rFonts w:ascii="Times New Roman" w:eastAsia="Times New Roman" w:hAnsi="Times New Roman" w:cs="Times New Roman"/>
                <w:lang w:eastAsia="pl-PL"/>
              </w:rPr>
              <w:t>. 2016/679, tj. danych biometrycznych w celu jednoznacznego identyfikowania osoby fizycznej;</w:t>
            </w:r>
          </w:p>
          <w:p w14:paraId="1D58108D" w14:textId="77777777" w:rsidR="00F56BEA" w:rsidRPr="006C09B7" w:rsidRDefault="00F56BEA" w:rsidP="00F30ECC">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2/ ww. organy i formacje </w:t>
            </w:r>
            <w:r w:rsidRPr="006C09B7">
              <w:rPr>
                <w:rFonts w:ascii="Times New Roman" w:hAnsi="Times New Roman" w:cs="Times New Roman"/>
              </w:rPr>
              <w:t xml:space="preserve"> </w:t>
            </w:r>
            <w:r w:rsidRPr="006C09B7">
              <w:rPr>
                <w:rFonts w:ascii="Times New Roman" w:eastAsia="Times New Roman" w:hAnsi="Times New Roman" w:cs="Times New Roman"/>
                <w:lang w:eastAsia="pl-PL"/>
              </w:rPr>
              <w:t>mogłyby pozyskiwać „wszystkie kategorie danych SIS” (katalog jw.)</w:t>
            </w:r>
            <w:r w:rsidRPr="006C09B7">
              <w:rPr>
                <w:rFonts w:ascii="Times New Roman" w:hAnsi="Times New Roman" w:cs="Times New Roman"/>
              </w:rPr>
              <w:t xml:space="preserve"> </w:t>
            </w:r>
            <w:r w:rsidRPr="006C09B7">
              <w:rPr>
                <w:rFonts w:ascii="Times New Roman" w:eastAsia="Times New Roman" w:hAnsi="Times New Roman" w:cs="Times New Roman"/>
                <w:lang w:eastAsia="pl-PL"/>
              </w:rPr>
              <w:t>z (w istocie dowolnych) „istniejących rejestrów i systemów krajowych” oraz (swobodnie i bez ograniczeń) kopiować dokumenty identyfikacyjne – art. 3 ust. 5 in fine ustawy, w brzmieniu nadanym przez art. 1 pkt 4 projektu;</w:t>
            </w:r>
          </w:p>
          <w:p w14:paraId="551521E2" w14:textId="77777777" w:rsidR="00F56BEA" w:rsidRPr="006C09B7" w:rsidRDefault="00F56BEA" w:rsidP="00F30ECC">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3/ </w:t>
            </w:r>
            <w:r w:rsidRPr="006C09B7">
              <w:rPr>
                <w:rFonts w:ascii="Times New Roman" w:hAnsi="Times New Roman" w:cs="Times New Roman"/>
              </w:rPr>
              <w:t xml:space="preserve">przepis </w:t>
            </w:r>
            <w:r w:rsidRPr="006C09B7">
              <w:rPr>
                <w:rFonts w:ascii="Times New Roman" w:eastAsia="Times New Roman" w:hAnsi="Times New Roman" w:cs="Times New Roman"/>
                <w:lang w:eastAsia="pl-PL"/>
              </w:rPr>
              <w:t>stałby się samoistną podstawą przetwarzania, w tym pozyskiwania, danych osobowych przez ww. organy i formacje, oderwaną od uregulowań ustaw pragmatycznych statuujących kompetencje tych organów i formacji do przetwarzania danych osobowych (i – niekiedy – wprost określających katalog danych osobowych, które dany organ lub formacja może przetwarzać w konkretnym celu);</w:t>
            </w:r>
          </w:p>
          <w:p w14:paraId="1871FFC9" w14:textId="77777777" w:rsidR="00F56BEA" w:rsidRPr="006C09B7" w:rsidRDefault="00F56BEA" w:rsidP="00F30ECC">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lastRenderedPageBreak/>
              <w:t xml:space="preserve">4/ przepis </w:t>
            </w:r>
            <w:r w:rsidRPr="006C09B7">
              <w:rPr>
                <w:rFonts w:ascii="Times New Roman" w:hAnsi="Times New Roman" w:cs="Times New Roman"/>
              </w:rPr>
              <w:t xml:space="preserve"> </w:t>
            </w:r>
            <w:r w:rsidRPr="006C09B7">
              <w:rPr>
                <w:rFonts w:ascii="Times New Roman" w:eastAsia="Times New Roman" w:hAnsi="Times New Roman" w:cs="Times New Roman"/>
                <w:lang w:eastAsia="pl-PL"/>
              </w:rPr>
              <w:t>stanowiłby też unormowanie szczególne, umożliwiające ww. organom i formacjom pozyskiwanie danych osobowych z wszelkich rejestrów i systemów krajowych, niezależnie od przewidzianych w przepisach normujących prowadzenie danego katalogu lub rejestru ograniczeń i zamkniętych katalogów podmiotów uprawnionych do pozyskiwania danych osobowych;</w:t>
            </w:r>
          </w:p>
          <w:p w14:paraId="091CE83B" w14:textId="5FE7E9DA" w:rsidR="00F56BEA" w:rsidRPr="006C09B7" w:rsidRDefault="00F56BEA" w:rsidP="00F30ECC">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 w przypadku wejścia w życie WSKAZANO NA: </w:t>
            </w:r>
          </w:p>
          <w:p w14:paraId="292662B0" w14:textId="44C3CE7A" w:rsidR="00F56BEA" w:rsidRPr="006C09B7" w:rsidRDefault="00F56BEA" w:rsidP="00F30ECC">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a/ wysokie ryzyko naruszania, wskazanych w art. 5 ust. 1 rozporządzenia 2016/679, zasad dotyczących przetwarzania danych osobowych, w szczególności: zasady ograniczenia celu (art. 5 ust. 1 lit. b rozporządzenia 2016/679) i zasady minimalizacji danych (art. 5 ust. 1 lit. c rozporządzenia 2016/679),</w:t>
            </w:r>
          </w:p>
          <w:p w14:paraId="7B0AD061" w14:textId="52E512B4" w:rsidR="00F56BEA" w:rsidRPr="006C09B7" w:rsidRDefault="00F56BEA" w:rsidP="00F30ECC">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b/ </w:t>
            </w:r>
            <w:r w:rsidRPr="006C09B7">
              <w:rPr>
                <w:rFonts w:ascii="Times New Roman" w:hAnsi="Times New Roman" w:cs="Times New Roman"/>
              </w:rPr>
              <w:t xml:space="preserve"> </w:t>
            </w:r>
            <w:r w:rsidRPr="006C09B7">
              <w:rPr>
                <w:rFonts w:ascii="Times New Roman" w:eastAsia="Times New Roman" w:hAnsi="Times New Roman" w:cs="Times New Roman"/>
                <w:lang w:eastAsia="pl-PL"/>
              </w:rPr>
              <w:t xml:space="preserve">dalekie wykroczenie poza cel ustawy o udziale w </w:t>
            </w:r>
            <w:proofErr w:type="spellStart"/>
            <w:r w:rsidRPr="006C09B7">
              <w:rPr>
                <w:rFonts w:ascii="Times New Roman" w:eastAsia="Times New Roman" w:hAnsi="Times New Roman" w:cs="Times New Roman"/>
                <w:lang w:eastAsia="pl-PL"/>
              </w:rPr>
              <w:t>Schengen</w:t>
            </w:r>
            <w:proofErr w:type="spellEnd"/>
            <w:r w:rsidRPr="006C09B7">
              <w:rPr>
                <w:rFonts w:ascii="Times New Roman" w:eastAsia="Times New Roman" w:hAnsi="Times New Roman" w:cs="Times New Roman"/>
                <w:lang w:eastAsia="pl-PL"/>
              </w:rPr>
              <w:t>, którym – zgodnie z odnośnikiem nr 1, w brzmieniu nadanym przez art. 1 pkt 1 projektu – jest zapewnienie stosowania rozporządzenia 2018/1860, rozporządzenia 2018/1861 oraz rozporządzenia 2018/1862</w:t>
            </w:r>
          </w:p>
          <w:p w14:paraId="390B6D91" w14:textId="02EA4199" w:rsidR="00F56BEA" w:rsidRPr="006C09B7" w:rsidRDefault="00F56BEA" w:rsidP="002D7881">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5/ wątpliwość co do uwzględnienia przez projektodawcę zasady </w:t>
            </w:r>
            <w:r w:rsidRPr="006C09B7">
              <w:rPr>
                <w:rFonts w:ascii="Times New Roman" w:hAnsi="Times New Roman" w:cs="Times New Roman"/>
              </w:rPr>
              <w:t xml:space="preserve"> </w:t>
            </w:r>
            <w:proofErr w:type="spellStart"/>
            <w:r w:rsidRPr="006C09B7">
              <w:rPr>
                <w:rFonts w:ascii="Times New Roman" w:eastAsia="Times New Roman" w:hAnsi="Times New Roman" w:cs="Times New Roman"/>
                <w:lang w:eastAsia="pl-PL"/>
              </w:rPr>
              <w:t>privacy</w:t>
            </w:r>
            <w:proofErr w:type="spellEnd"/>
            <w:r w:rsidRPr="006C09B7">
              <w:rPr>
                <w:rFonts w:ascii="Times New Roman" w:eastAsia="Times New Roman" w:hAnsi="Times New Roman" w:cs="Times New Roman"/>
                <w:lang w:eastAsia="pl-PL"/>
              </w:rPr>
              <w:t xml:space="preserve"> by design, czyli ochrona danych w fazie projektowania (art. 25 ust. 1 rozporządzenia 2016/679</w:t>
            </w:r>
            <w:r w:rsidRPr="006C09B7">
              <w:rPr>
                <w:rFonts w:ascii="Times New Roman" w:hAnsi="Times New Roman" w:cs="Times New Roman"/>
              </w:rPr>
              <w:t xml:space="preserve"> – dot. wdrażanych przez </w:t>
            </w:r>
            <w:r w:rsidRPr="006C09B7">
              <w:rPr>
                <w:rFonts w:ascii="Times New Roman" w:eastAsia="Times New Roman" w:hAnsi="Times New Roman" w:cs="Times New Roman"/>
                <w:lang w:eastAsia="pl-PL"/>
              </w:rPr>
              <w:t xml:space="preserve">administratora – zarówno przy określaniu sposobów przetwarzania, jak i w czasie samego przetwarzania – odpowiednich środków technicznych i organizacyjnych (np. </w:t>
            </w:r>
            <w:proofErr w:type="spellStart"/>
            <w:r w:rsidRPr="006C09B7">
              <w:rPr>
                <w:rFonts w:ascii="Times New Roman" w:eastAsia="Times New Roman" w:hAnsi="Times New Roman" w:cs="Times New Roman"/>
                <w:lang w:eastAsia="pl-PL"/>
              </w:rPr>
              <w:t>pseudonimizacja</w:t>
            </w:r>
            <w:proofErr w:type="spellEnd"/>
            <w:r w:rsidRPr="006C09B7">
              <w:rPr>
                <w:rFonts w:ascii="Times New Roman" w:eastAsia="Times New Roman" w:hAnsi="Times New Roman" w:cs="Times New Roman"/>
                <w:lang w:eastAsia="pl-PL"/>
              </w:rPr>
              <w:t>), zaprojektowanych w celu skutecznej realizacji zasad ochrony danych (np. minimalizacja danych) oraz w celu nadania przetwarzaniu niezbędnych zabezpieczeń), a zwłaszcza – czy została przeprowadzona ocena skutków dla ochrony danych (art. 35 ust. 1 i ust. 10 rozporządzenia 2016/679);</w:t>
            </w:r>
          </w:p>
          <w:p w14:paraId="225FACB8" w14:textId="2CD58BA9" w:rsidR="00F56BEA" w:rsidRPr="006C09B7" w:rsidRDefault="00F56BEA" w:rsidP="00D23EE4">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6/ przy opracowywaniu rozwiązań prawnych należy uwzględniać wyniki oceny skutków dla ochrony danych i jej wpływ na kształt i treść określonych regulacji dotyczących dokonywania operacji na danych osobowych - istotne w kontekście </w:t>
            </w:r>
            <w:proofErr w:type="spellStart"/>
            <w:r w:rsidRPr="006C09B7">
              <w:rPr>
                <w:rFonts w:ascii="Times New Roman" w:eastAsia="Times New Roman" w:hAnsi="Times New Roman" w:cs="Times New Roman"/>
                <w:lang w:eastAsia="pl-PL"/>
              </w:rPr>
              <w:t>ryzyk</w:t>
            </w:r>
            <w:proofErr w:type="spellEnd"/>
            <w:r w:rsidRPr="006C09B7">
              <w:rPr>
                <w:rFonts w:ascii="Times New Roman" w:eastAsia="Times New Roman" w:hAnsi="Times New Roman" w:cs="Times New Roman"/>
                <w:lang w:eastAsia="pl-PL"/>
              </w:rPr>
              <w:t xml:space="preserve"> naruszania praw i wolności osób fizycznych </w:t>
            </w:r>
            <w:r w:rsidRPr="006C09B7">
              <w:rPr>
                <w:rFonts w:ascii="Times New Roman" w:eastAsia="Times New Roman" w:hAnsi="Times New Roman" w:cs="Times New Roman"/>
                <w:lang w:eastAsia="pl-PL"/>
              </w:rPr>
              <w:lastRenderedPageBreak/>
              <w:t>wynikających z czynności przetwarzania danych, w tym danych szczególnych kategorii;</w:t>
            </w:r>
          </w:p>
          <w:p w14:paraId="34976D65" w14:textId="387EBC4C" w:rsidR="00F56BEA" w:rsidRPr="006C09B7" w:rsidRDefault="00F56BEA" w:rsidP="00D23EE4">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Prawidłowo przeprowadzona ocena skutków dla ochrony danych mogłaby:</w:t>
            </w:r>
          </w:p>
          <w:p w14:paraId="6FE33F67" w14:textId="7B8F228C" w:rsidR="00F56BEA" w:rsidRPr="006C09B7" w:rsidRDefault="00F56BEA" w:rsidP="00D23EE4">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1/ wykazać konieczność lub brak niezbędności wprowadzenia projektowanych rozwiązań,</w:t>
            </w:r>
          </w:p>
          <w:p w14:paraId="3D2D4867" w14:textId="23B88D18" w:rsidR="00F56BEA" w:rsidRPr="006C09B7" w:rsidRDefault="00F56BEA" w:rsidP="00D23EE4">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xml:space="preserve">2/ </w:t>
            </w:r>
            <w:r w:rsidRPr="006C09B7">
              <w:rPr>
                <w:rFonts w:ascii="Times New Roman" w:hAnsi="Times New Roman" w:cs="Times New Roman"/>
              </w:rPr>
              <w:t xml:space="preserve"> </w:t>
            </w:r>
            <w:r w:rsidRPr="006C09B7">
              <w:rPr>
                <w:rFonts w:ascii="Times New Roman" w:eastAsia="Times New Roman" w:hAnsi="Times New Roman" w:cs="Times New Roman"/>
                <w:lang w:eastAsia="pl-PL"/>
              </w:rPr>
              <w:t>wskazać, czy przyjęcie tego przepisu w formie zawnioskowanej w projekcie nie doprowadzi do nieuzasadnionego łączenia baz danych, o czym stanowi motyw 31 zdanie pierwsze i drugie rozporządzenia 2016/679.</w:t>
            </w:r>
          </w:p>
          <w:p w14:paraId="182E31EE" w14:textId="04DC0E4A" w:rsidR="00F56BEA" w:rsidRPr="006C09B7" w:rsidRDefault="00F56BEA" w:rsidP="00F30ECC">
            <w:pPr>
              <w:spacing w:after="0" w:line="276" w:lineRule="auto"/>
              <w:jc w:val="both"/>
              <w:rPr>
                <w:rFonts w:ascii="Times New Roman" w:eastAsia="Times New Roman" w:hAnsi="Times New Roman" w:cs="Times New Roman"/>
                <w:lang w:eastAsia="pl-PL"/>
              </w:rPr>
            </w:pPr>
          </w:p>
        </w:tc>
        <w:tc>
          <w:tcPr>
            <w:tcW w:w="5128" w:type="dxa"/>
            <w:tcBorders>
              <w:top w:val="single" w:sz="24" w:space="0" w:color="auto"/>
            </w:tcBorders>
            <w:shd w:val="clear" w:color="auto" w:fill="auto"/>
          </w:tcPr>
          <w:p w14:paraId="4B491414" w14:textId="66A1595B" w:rsidR="00625B00" w:rsidRDefault="00625B00" w:rsidP="00424EB1">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 kierunkowo – uzgodniono rezygnację z odniesienia do systemów i rejestrów krajowych; nadto wobec zaburzenia równowagi w dostępie do danych między SG a pozostałymi organami uprawnionymi do dokonywania wpisów do SIS oraz braku akceptacji dla sformułowania „przepisów odrębnych” uzgodniono odniesienie się do zakresu danych wskazanych w art. 20 rozporządzeń 2018/1861 i 2018/1862 – analogicznie jak w przypadku SG</w:t>
            </w:r>
          </w:p>
          <w:p w14:paraId="72DD4090" w14:textId="059391A4" w:rsidR="00EE5221" w:rsidRPr="006C09B7" w:rsidRDefault="00625B00" w:rsidP="00424EB1">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EE5221" w:rsidRPr="006C09B7">
              <w:rPr>
                <w:rFonts w:ascii="Times New Roman" w:eastAsia="Times New Roman" w:hAnsi="Times New Roman" w:cs="Times New Roman"/>
                <w:lang w:eastAsia="pl-PL"/>
              </w:rPr>
              <w:t xml:space="preserve">uwzględniono </w:t>
            </w:r>
            <w:r w:rsidR="00657654">
              <w:rPr>
                <w:rFonts w:ascii="Times New Roman" w:eastAsia="Times New Roman" w:hAnsi="Times New Roman" w:cs="Times New Roman"/>
                <w:lang w:eastAsia="pl-PL"/>
              </w:rPr>
              <w:t xml:space="preserve">pierwotnie </w:t>
            </w:r>
            <w:r w:rsidR="00EE5221" w:rsidRPr="006C09B7">
              <w:rPr>
                <w:rFonts w:ascii="Times New Roman" w:eastAsia="Times New Roman" w:hAnsi="Times New Roman" w:cs="Times New Roman"/>
                <w:lang w:eastAsia="pl-PL"/>
              </w:rPr>
              <w:t>częściowo</w:t>
            </w:r>
            <w:r>
              <w:rPr>
                <w:rFonts w:ascii="Times New Roman" w:eastAsia="Times New Roman" w:hAnsi="Times New Roman" w:cs="Times New Roman"/>
                <w:lang w:eastAsia="pl-PL"/>
              </w:rPr>
              <w:t xml:space="preserve"> </w:t>
            </w:r>
            <w:r w:rsidR="00EE5221" w:rsidRPr="006C09B7">
              <w:rPr>
                <w:rFonts w:ascii="Times New Roman" w:eastAsia="Times New Roman" w:hAnsi="Times New Roman" w:cs="Times New Roman"/>
                <w:lang w:eastAsia="pl-PL"/>
              </w:rPr>
              <w:t>(rozpoznając łącznie z uwagami MS nr 36 i 37)</w:t>
            </w:r>
            <w:r w:rsidR="00657654">
              <w:rPr>
                <w:rFonts w:ascii="Times New Roman" w:eastAsia="Times New Roman" w:hAnsi="Times New Roman" w:cs="Times New Roman"/>
                <w:lang w:eastAsia="pl-PL"/>
              </w:rPr>
              <w:t xml:space="preserve"> poprzez:</w:t>
            </w:r>
          </w:p>
          <w:p w14:paraId="19EC4FE8" w14:textId="0D0450D3" w:rsidR="00EE5221" w:rsidRPr="006C09B7" w:rsidRDefault="00EE5221" w:rsidP="00424EB1">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zmodyfikowano treść przepisu</w:t>
            </w:r>
            <w:r w:rsidR="00462773" w:rsidRPr="006C09B7">
              <w:rPr>
                <w:rFonts w:ascii="Times New Roman" w:eastAsia="Times New Roman" w:hAnsi="Times New Roman" w:cs="Times New Roman"/>
                <w:lang w:eastAsia="pl-PL"/>
              </w:rPr>
              <w:t xml:space="preserve"> poprzez </w:t>
            </w:r>
            <w:r w:rsidRPr="006C09B7">
              <w:rPr>
                <w:rFonts w:ascii="Times New Roman" w:eastAsia="Times New Roman" w:hAnsi="Times New Roman" w:cs="Times New Roman"/>
                <w:lang w:eastAsia="pl-PL"/>
              </w:rPr>
              <w:t>usunię</w:t>
            </w:r>
            <w:r w:rsidR="00462773" w:rsidRPr="006C09B7">
              <w:rPr>
                <w:rFonts w:ascii="Times New Roman" w:eastAsia="Times New Roman" w:hAnsi="Times New Roman" w:cs="Times New Roman"/>
                <w:lang w:eastAsia="pl-PL"/>
              </w:rPr>
              <w:t>cie możliwości</w:t>
            </w:r>
            <w:r w:rsidRPr="006C09B7">
              <w:rPr>
                <w:rFonts w:ascii="Times New Roman" w:eastAsia="Times New Roman" w:hAnsi="Times New Roman" w:cs="Times New Roman"/>
                <w:lang w:eastAsia="pl-PL"/>
              </w:rPr>
              <w:t xml:space="preserve"> pozyskiwania </w:t>
            </w:r>
            <w:r w:rsidR="00462773" w:rsidRPr="006C09B7">
              <w:rPr>
                <w:rFonts w:ascii="Times New Roman" w:eastAsia="Times New Roman" w:hAnsi="Times New Roman" w:cs="Times New Roman"/>
                <w:lang w:eastAsia="pl-PL"/>
              </w:rPr>
              <w:t xml:space="preserve">przez organy </w:t>
            </w:r>
            <w:r w:rsidRPr="006C09B7">
              <w:rPr>
                <w:rFonts w:ascii="Times New Roman" w:eastAsia="Times New Roman" w:hAnsi="Times New Roman" w:cs="Times New Roman"/>
                <w:lang w:eastAsia="pl-PL"/>
              </w:rPr>
              <w:t>danych z rejestrów i systemó</w:t>
            </w:r>
            <w:r w:rsidR="00462773" w:rsidRPr="006C09B7">
              <w:rPr>
                <w:rFonts w:ascii="Times New Roman" w:eastAsia="Times New Roman" w:hAnsi="Times New Roman" w:cs="Times New Roman"/>
                <w:lang w:eastAsia="pl-PL"/>
              </w:rPr>
              <w:t>w krajowych oraz</w:t>
            </w:r>
            <w:r w:rsidRPr="006C09B7">
              <w:rPr>
                <w:rFonts w:ascii="Times New Roman" w:eastAsia="Times New Roman" w:hAnsi="Times New Roman" w:cs="Times New Roman"/>
                <w:lang w:eastAsia="pl-PL"/>
              </w:rPr>
              <w:t xml:space="preserve"> uregulowanie przetwarzania danych przez organy uprawnione do dokonywania wpisów w SIS </w:t>
            </w:r>
            <w:r w:rsidR="00462773" w:rsidRPr="006C09B7">
              <w:rPr>
                <w:rFonts w:ascii="Times New Roman" w:eastAsia="Times New Roman" w:hAnsi="Times New Roman" w:cs="Times New Roman"/>
                <w:lang w:eastAsia="pl-PL"/>
              </w:rPr>
              <w:t xml:space="preserve">w tym celu – co do zasady - </w:t>
            </w:r>
            <w:r w:rsidRPr="006C09B7">
              <w:rPr>
                <w:rFonts w:ascii="Times New Roman" w:eastAsia="Times New Roman" w:hAnsi="Times New Roman" w:cs="Times New Roman"/>
                <w:lang w:eastAsia="pl-PL"/>
              </w:rPr>
              <w:t xml:space="preserve">poprzez </w:t>
            </w:r>
            <w:r w:rsidR="009C7E52" w:rsidRPr="006C09B7">
              <w:rPr>
                <w:rFonts w:ascii="Times New Roman" w:eastAsia="Times New Roman" w:hAnsi="Times New Roman" w:cs="Times New Roman"/>
                <w:lang w:eastAsia="pl-PL"/>
              </w:rPr>
              <w:t>odesłanie do przepisów odrębnych;</w:t>
            </w:r>
            <w:r w:rsidRPr="006C09B7">
              <w:rPr>
                <w:rFonts w:ascii="Times New Roman" w:eastAsia="Times New Roman" w:hAnsi="Times New Roman" w:cs="Times New Roman"/>
                <w:lang w:eastAsia="pl-PL"/>
              </w:rPr>
              <w:t xml:space="preserve"> zachow</w:t>
            </w:r>
            <w:r w:rsidR="009C7E52" w:rsidRPr="006C09B7">
              <w:rPr>
                <w:rFonts w:ascii="Times New Roman" w:eastAsia="Times New Roman" w:hAnsi="Times New Roman" w:cs="Times New Roman"/>
                <w:lang w:eastAsia="pl-PL"/>
              </w:rPr>
              <w:t>ano przy tym</w:t>
            </w:r>
            <w:r w:rsidRPr="006C09B7">
              <w:rPr>
                <w:rFonts w:ascii="Times New Roman" w:eastAsia="Times New Roman" w:hAnsi="Times New Roman" w:cs="Times New Roman"/>
                <w:lang w:eastAsia="pl-PL"/>
              </w:rPr>
              <w:t xml:space="preserve"> uprawnienie dla SG do przetwarzania danych zgodnych z zakresem wynikającym z art. 4 rozporządzenia 2018/</w:t>
            </w:r>
            <w:r w:rsidR="009C7E52" w:rsidRPr="006C09B7">
              <w:rPr>
                <w:rFonts w:ascii="Times New Roman" w:eastAsia="Times New Roman" w:hAnsi="Times New Roman" w:cs="Times New Roman"/>
                <w:lang w:eastAsia="pl-PL"/>
              </w:rPr>
              <w:t>1860 jako koniecznej podstawy dla</w:t>
            </w:r>
            <w:r w:rsidRPr="006C09B7">
              <w:rPr>
                <w:rFonts w:ascii="Times New Roman" w:eastAsia="Times New Roman" w:hAnsi="Times New Roman" w:cs="Times New Roman"/>
                <w:lang w:eastAsia="pl-PL"/>
              </w:rPr>
              <w:t xml:space="preserve"> zapewnienia skuteczności działań SG w tym zakresie</w:t>
            </w:r>
          </w:p>
          <w:p w14:paraId="48E0C6CB" w14:textId="4DC81060" w:rsidR="00EE5221" w:rsidRPr="006C09B7" w:rsidRDefault="00EE5221" w:rsidP="00424EB1">
            <w:pPr>
              <w:spacing w:after="0" w:line="276" w:lineRule="auto"/>
              <w:jc w:val="both"/>
              <w:rPr>
                <w:rFonts w:ascii="Times New Roman" w:eastAsia="Times New Roman" w:hAnsi="Times New Roman" w:cs="Times New Roman"/>
                <w:lang w:eastAsia="pl-PL"/>
              </w:rPr>
            </w:pPr>
            <w:r w:rsidRPr="006C09B7">
              <w:rPr>
                <w:rFonts w:ascii="Times New Roman" w:eastAsia="Times New Roman" w:hAnsi="Times New Roman" w:cs="Times New Roman"/>
                <w:lang w:eastAsia="pl-PL"/>
              </w:rPr>
              <w:t>- dokonano korekty uzasadnienia projektu</w:t>
            </w:r>
          </w:p>
          <w:p w14:paraId="522576B6" w14:textId="0D8337FE" w:rsidR="00F56BEA" w:rsidRPr="006C09B7" w:rsidRDefault="00F56BEA" w:rsidP="00EE5221">
            <w:pPr>
              <w:spacing w:after="0" w:line="276" w:lineRule="auto"/>
              <w:jc w:val="both"/>
              <w:rPr>
                <w:rFonts w:ascii="Times New Roman" w:eastAsia="Times New Roman" w:hAnsi="Times New Roman" w:cs="Times New Roman"/>
                <w:lang w:eastAsia="pl-PL"/>
              </w:rPr>
            </w:pPr>
          </w:p>
        </w:tc>
      </w:tr>
      <w:tr w:rsidR="00A924A6" w:rsidRPr="00C2454A" w14:paraId="5762649A" w14:textId="77777777" w:rsidTr="0035294C">
        <w:tc>
          <w:tcPr>
            <w:tcW w:w="562" w:type="dxa"/>
            <w:shd w:val="clear" w:color="auto" w:fill="FFFFFF" w:themeFill="background1"/>
            <w:vAlign w:val="center"/>
          </w:tcPr>
          <w:p w14:paraId="218FB307" w14:textId="723747BD" w:rsidR="00A924A6" w:rsidRPr="00C2454A" w:rsidRDefault="00A924A6"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20D3DB54" w14:textId="770A0799" w:rsidR="00A924A6" w:rsidRPr="00C2454A" w:rsidRDefault="00774E88" w:rsidP="00774E88">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PUODO</w:t>
            </w:r>
          </w:p>
        </w:tc>
        <w:tc>
          <w:tcPr>
            <w:tcW w:w="1394" w:type="dxa"/>
            <w:shd w:val="clear" w:color="auto" w:fill="FFFFFF" w:themeFill="background1"/>
            <w:vAlign w:val="center"/>
          </w:tcPr>
          <w:p w14:paraId="7D6C1C30" w14:textId="77777777" w:rsidR="00A924A6" w:rsidRPr="00C2454A" w:rsidRDefault="00A924A6" w:rsidP="0019785C">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4 </w:t>
            </w:r>
          </w:p>
          <w:p w14:paraId="1F6BED09" w14:textId="77777777" w:rsidR="00A924A6" w:rsidRPr="00C2454A" w:rsidRDefault="00A924A6" w:rsidP="0019785C">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ust. 10 </w:t>
            </w:r>
          </w:p>
          <w:p w14:paraId="7A91F071" w14:textId="0A71296C" w:rsidR="00A924A6" w:rsidRPr="00C2454A" w:rsidRDefault="00A924A6" w:rsidP="0019785C">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1 pkt 5 projektu.)</w:t>
            </w:r>
          </w:p>
        </w:tc>
        <w:tc>
          <w:tcPr>
            <w:tcW w:w="6897" w:type="dxa"/>
            <w:shd w:val="clear" w:color="auto" w:fill="FFFFFF" w:themeFill="background1"/>
          </w:tcPr>
          <w:p w14:paraId="6284208D" w14:textId="00D9476B" w:rsidR="00A924A6" w:rsidRPr="00742556" w:rsidRDefault="00A924A6" w:rsidP="00387EBD">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wydaje się zbędny - postulowane </w:t>
            </w:r>
            <w:r w:rsidRPr="00742556">
              <w:rPr>
                <w:rFonts w:ascii="Times New Roman" w:eastAsia="Times New Roman" w:hAnsi="Times New Roman" w:cs="Times New Roman"/>
                <w:lang w:eastAsia="pl-PL"/>
              </w:rPr>
              <w:t>usunięcie z projektu w całości:</w:t>
            </w:r>
          </w:p>
          <w:p w14:paraId="2A958EFE" w14:textId="77777777" w:rsidR="00A924A6" w:rsidRPr="00742556" w:rsidRDefault="00A924A6" w:rsidP="00387EBD">
            <w:pPr>
              <w:spacing w:after="0" w:line="276" w:lineRule="auto"/>
              <w:jc w:val="both"/>
              <w:rPr>
                <w:rFonts w:ascii="Times New Roman" w:eastAsia="Times New Roman" w:hAnsi="Times New Roman" w:cs="Times New Roman"/>
                <w:lang w:eastAsia="pl-PL"/>
              </w:rPr>
            </w:pPr>
            <w:r w:rsidRPr="00742556">
              <w:rPr>
                <w:rFonts w:ascii="Times New Roman" w:eastAsia="Times New Roman" w:hAnsi="Times New Roman" w:cs="Times New Roman"/>
                <w:lang w:eastAsia="pl-PL"/>
              </w:rPr>
              <w:t xml:space="preserve">U: </w:t>
            </w:r>
          </w:p>
          <w:p w14:paraId="652866EC" w14:textId="529DC31A" w:rsidR="00A924A6" w:rsidRPr="00C2454A" w:rsidRDefault="00A924A6" w:rsidP="00387EBD">
            <w:pPr>
              <w:spacing w:after="0" w:line="276" w:lineRule="auto"/>
              <w:jc w:val="both"/>
              <w:rPr>
                <w:rFonts w:ascii="Times New Roman" w:eastAsia="Times New Roman" w:hAnsi="Times New Roman" w:cs="Times New Roman"/>
                <w:lang w:eastAsia="pl-PL"/>
              </w:rPr>
            </w:pPr>
            <w:r w:rsidRPr="00742556">
              <w:rPr>
                <w:rFonts w:ascii="Times New Roman" w:eastAsia="Times New Roman" w:hAnsi="Times New Roman" w:cs="Times New Roman"/>
                <w:lang w:eastAsia="pl-PL"/>
              </w:rPr>
              <w:t>1/ bezzasadna jest</w:t>
            </w:r>
            <w:r w:rsidRPr="00742556">
              <w:rPr>
                <w:rFonts w:ascii="Times New Roman" w:hAnsi="Times New Roman" w:cs="Times New Roman"/>
              </w:rPr>
              <w:t xml:space="preserve"> </w:t>
            </w:r>
            <w:r w:rsidRPr="00742556">
              <w:rPr>
                <w:rFonts w:ascii="Times New Roman" w:eastAsia="Times New Roman" w:hAnsi="Times New Roman" w:cs="Times New Roman"/>
                <w:lang w:eastAsia="pl-PL"/>
              </w:rPr>
              <w:t>deklaracja co do związania organów</w:t>
            </w:r>
            <w:r w:rsidRPr="00C2454A">
              <w:rPr>
                <w:rFonts w:ascii="Times New Roman" w:eastAsia="Times New Roman" w:hAnsi="Times New Roman" w:cs="Times New Roman"/>
                <w:lang w:eastAsia="pl-PL"/>
              </w:rPr>
              <w:t xml:space="preserve"> wymienionych w art. 3 i art. 4 ustawy przepisami rozporządzenia 2016/679 w zakresie przetwarzania danych SIS, gdyż związanie takie następuje z mocy samego prawa,</w:t>
            </w:r>
            <w:r w:rsidRPr="00C2454A">
              <w:rPr>
                <w:rFonts w:ascii="Times New Roman" w:hAnsi="Times New Roman" w:cs="Times New Roman"/>
              </w:rPr>
              <w:t xml:space="preserve"> gdyż, w </w:t>
            </w:r>
            <w:r w:rsidRPr="00C2454A">
              <w:rPr>
                <w:rFonts w:ascii="Times New Roman" w:eastAsia="Times New Roman" w:hAnsi="Times New Roman" w:cs="Times New Roman"/>
                <w:lang w:eastAsia="pl-PL"/>
              </w:rPr>
              <w:t xml:space="preserve">myśl art. 288 zdanie trzecie Traktatu o funkcjonowaniu Unii Europejskiej, rozporządzenie (UE) wiąże w całości i jest bezpośrednio stosowane we wszystkich państwach członkowskich </w:t>
            </w:r>
          </w:p>
          <w:p w14:paraId="4BC21177" w14:textId="43EAA7E3" w:rsidR="00A924A6" w:rsidRPr="00C2454A" w:rsidRDefault="00A924A6" w:rsidP="005B5ABE">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2/ nic nie wnosi też pod względem normatywnym odwołanie do przepisów ustawy z dnia 14 grudnia 2018 r. o ochronie danych osobowych przetwarzanych w związku z zapobieganiem i zwalczeniem przestępczości (Dz. U. z 2019 r. poz. 125) - zawarte w art. 4 ust. 10 in fine ustawy, w brzmieniu nadanym przez art. 1 pkt 5 projektu</w:t>
            </w:r>
          </w:p>
        </w:tc>
        <w:tc>
          <w:tcPr>
            <w:tcW w:w="5128" w:type="dxa"/>
            <w:shd w:val="clear" w:color="auto" w:fill="FFFFFF" w:themeFill="background1"/>
          </w:tcPr>
          <w:p w14:paraId="0386E70C" w14:textId="0578BDD8" w:rsidR="00742556" w:rsidRDefault="00742556" w:rsidP="00F56BE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2F0D1DF6" w14:textId="6C1BADEB" w:rsidR="00FF18C7" w:rsidRDefault="00742556" w:rsidP="00F56BE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453C38">
              <w:rPr>
                <w:rFonts w:ascii="Times New Roman" w:eastAsia="Times New Roman" w:hAnsi="Times New Roman" w:cs="Times New Roman"/>
                <w:lang w:eastAsia="pl-PL"/>
              </w:rPr>
              <w:t>u</w:t>
            </w:r>
            <w:r w:rsidR="00A924A6" w:rsidRPr="00C2454A">
              <w:rPr>
                <w:rFonts w:ascii="Times New Roman" w:eastAsia="Times New Roman" w:hAnsi="Times New Roman" w:cs="Times New Roman"/>
                <w:lang w:eastAsia="pl-PL"/>
              </w:rPr>
              <w:t>względniono</w:t>
            </w:r>
            <w:r>
              <w:rPr>
                <w:rFonts w:ascii="Times New Roman" w:eastAsia="Times New Roman" w:hAnsi="Times New Roman" w:cs="Times New Roman"/>
                <w:lang w:eastAsia="pl-PL"/>
              </w:rPr>
              <w:t xml:space="preserve"> - ust. 10 art. 4 usunięto; </w:t>
            </w:r>
            <w:r w:rsidR="00FF18C7">
              <w:rPr>
                <w:rFonts w:ascii="Times New Roman" w:eastAsia="Times New Roman" w:hAnsi="Times New Roman" w:cs="Times New Roman"/>
                <w:lang w:eastAsia="pl-PL"/>
              </w:rPr>
              <w:t>dokonano korekty uzasadnienia</w:t>
            </w:r>
          </w:p>
          <w:p w14:paraId="7637D7E5" w14:textId="01C8BB80" w:rsidR="003205E0" w:rsidRPr="00C2454A" w:rsidRDefault="003205E0" w:rsidP="00F56BEA">
            <w:pPr>
              <w:spacing w:after="0" w:line="276" w:lineRule="auto"/>
              <w:jc w:val="both"/>
              <w:rPr>
                <w:rFonts w:ascii="Times New Roman" w:eastAsia="Times New Roman" w:hAnsi="Times New Roman" w:cs="Times New Roman"/>
                <w:lang w:eastAsia="pl-PL"/>
              </w:rPr>
            </w:pPr>
          </w:p>
        </w:tc>
      </w:tr>
      <w:tr w:rsidR="00A924A6" w:rsidRPr="00C2454A" w14:paraId="4DEE6B95" w14:textId="77777777" w:rsidTr="006A208D">
        <w:tc>
          <w:tcPr>
            <w:tcW w:w="562" w:type="dxa"/>
            <w:tcBorders>
              <w:bottom w:val="single" w:sz="12" w:space="0" w:color="auto"/>
            </w:tcBorders>
            <w:shd w:val="clear" w:color="auto" w:fill="auto"/>
            <w:vAlign w:val="center"/>
          </w:tcPr>
          <w:p w14:paraId="74BA3DE3" w14:textId="695A601E" w:rsidR="00A924A6" w:rsidRPr="006A208D" w:rsidRDefault="00A924A6"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12" w:space="0" w:color="auto"/>
            </w:tcBorders>
            <w:shd w:val="clear" w:color="auto" w:fill="auto"/>
            <w:vAlign w:val="center"/>
          </w:tcPr>
          <w:p w14:paraId="27E5146B" w14:textId="56D27D94" w:rsidR="00A924A6" w:rsidRPr="00C2454A" w:rsidRDefault="00774E88" w:rsidP="00774E88">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PUODO</w:t>
            </w:r>
          </w:p>
        </w:tc>
        <w:tc>
          <w:tcPr>
            <w:tcW w:w="1394" w:type="dxa"/>
            <w:tcBorders>
              <w:bottom w:val="single" w:sz="12" w:space="0" w:color="auto"/>
            </w:tcBorders>
            <w:shd w:val="clear" w:color="auto" w:fill="auto"/>
            <w:vAlign w:val="center"/>
          </w:tcPr>
          <w:p w14:paraId="259FDFEB" w14:textId="03283CC0" w:rsidR="00A924A6" w:rsidRPr="00C2454A" w:rsidRDefault="00A924A6" w:rsidP="00073105">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23</w:t>
            </w:r>
          </w:p>
          <w:p w14:paraId="0FFC6721" w14:textId="4595F9E0" w:rsidR="00A924A6" w:rsidRPr="00C2454A" w:rsidRDefault="00A924A6" w:rsidP="00073105">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1 pkt 9 projektu)</w:t>
            </w:r>
          </w:p>
          <w:p w14:paraId="1A4D1687" w14:textId="545CB212" w:rsidR="00A924A6" w:rsidRPr="00C2454A" w:rsidRDefault="00A924A6" w:rsidP="00073105">
            <w:pPr>
              <w:spacing w:after="0" w:line="276" w:lineRule="auto"/>
              <w:jc w:val="both"/>
              <w:rPr>
                <w:rFonts w:ascii="Times New Roman" w:eastAsia="Times New Roman" w:hAnsi="Times New Roman" w:cs="Times New Roman"/>
                <w:lang w:eastAsia="pl-PL"/>
              </w:rPr>
            </w:pPr>
          </w:p>
        </w:tc>
        <w:tc>
          <w:tcPr>
            <w:tcW w:w="6897" w:type="dxa"/>
            <w:tcBorders>
              <w:bottom w:val="single" w:sz="12" w:space="0" w:color="auto"/>
            </w:tcBorders>
            <w:shd w:val="clear" w:color="auto" w:fill="auto"/>
          </w:tcPr>
          <w:p w14:paraId="21F205C8" w14:textId="5F09236A" w:rsidR="00A924A6" w:rsidRPr="00C2454A" w:rsidRDefault="00A924A6" w:rsidP="00073105">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uzasadnione </w:t>
            </w:r>
            <w:r w:rsidRPr="002B69FA">
              <w:rPr>
                <w:rFonts w:ascii="Times New Roman" w:eastAsia="Times New Roman" w:hAnsi="Times New Roman" w:cs="Times New Roman"/>
                <w:lang w:eastAsia="pl-PL"/>
              </w:rPr>
              <w:t xml:space="preserve">jest dostosowanie dotychczas obowiązujących ust. 1–3 art. 23 ustawy do przepisów </w:t>
            </w:r>
            <w:proofErr w:type="spellStart"/>
            <w:r w:rsidRPr="002B69FA">
              <w:rPr>
                <w:rFonts w:ascii="Times New Roman" w:eastAsia="Times New Roman" w:hAnsi="Times New Roman" w:cs="Times New Roman"/>
                <w:lang w:eastAsia="pl-PL"/>
              </w:rPr>
              <w:t>rozp</w:t>
            </w:r>
            <w:proofErr w:type="spellEnd"/>
            <w:r w:rsidRPr="002B69FA">
              <w:rPr>
                <w:rFonts w:ascii="Times New Roman" w:eastAsia="Times New Roman" w:hAnsi="Times New Roman" w:cs="Times New Roman"/>
                <w:lang w:eastAsia="pl-PL"/>
              </w:rPr>
              <w:t xml:space="preserve">. 2018/1861 oraz </w:t>
            </w:r>
            <w:proofErr w:type="spellStart"/>
            <w:r w:rsidRPr="002B69FA">
              <w:rPr>
                <w:rFonts w:ascii="Times New Roman" w:eastAsia="Times New Roman" w:hAnsi="Times New Roman" w:cs="Times New Roman"/>
                <w:lang w:eastAsia="pl-PL"/>
              </w:rPr>
              <w:t>rozp</w:t>
            </w:r>
            <w:proofErr w:type="spellEnd"/>
            <w:r w:rsidRPr="002B69FA">
              <w:rPr>
                <w:rFonts w:ascii="Times New Roman" w:eastAsia="Times New Roman" w:hAnsi="Times New Roman" w:cs="Times New Roman"/>
                <w:lang w:eastAsia="pl-PL"/>
              </w:rPr>
              <w:t>. 2018/1862, ewentualnie wskazanie przyczyn, dla</w:t>
            </w:r>
            <w:r w:rsidRPr="00C2454A">
              <w:rPr>
                <w:rFonts w:ascii="Times New Roman" w:eastAsia="Times New Roman" w:hAnsi="Times New Roman" w:cs="Times New Roman"/>
                <w:lang w:eastAsia="pl-PL"/>
              </w:rPr>
              <w:t xml:space="preserve"> których dostosowania takiego nie uznaje za konieczne.</w:t>
            </w:r>
          </w:p>
          <w:p w14:paraId="7CA074B1" w14:textId="325244C9" w:rsidR="00A924A6" w:rsidRPr="00C2454A" w:rsidRDefault="00A924A6" w:rsidP="00073105">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w:t>
            </w:r>
          </w:p>
          <w:p w14:paraId="3C91532E" w14:textId="58B220BF" w:rsidR="00A924A6" w:rsidRPr="00C2454A" w:rsidRDefault="00A924A6" w:rsidP="00073105">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 konieczność rozważenia celowości zmiany brzmienia ust. 1-3 z uwagi na statuowaną w art. 44 ust. 1 </w:t>
            </w:r>
            <w:proofErr w:type="spellStart"/>
            <w:r w:rsidRPr="00C2454A">
              <w:rPr>
                <w:rFonts w:ascii="Times New Roman" w:eastAsia="Times New Roman" w:hAnsi="Times New Roman" w:cs="Times New Roman"/>
                <w:lang w:eastAsia="pl-PL"/>
              </w:rPr>
              <w:t>rozp</w:t>
            </w:r>
            <w:proofErr w:type="spellEnd"/>
            <w:r w:rsidRPr="00C2454A">
              <w:rPr>
                <w:rFonts w:ascii="Times New Roman" w:eastAsia="Times New Roman" w:hAnsi="Times New Roman" w:cs="Times New Roman"/>
                <w:lang w:eastAsia="pl-PL"/>
              </w:rPr>
              <w:t xml:space="preserve">. 2018/1861 i art. 59 ust. 1 </w:t>
            </w:r>
            <w:proofErr w:type="spellStart"/>
            <w:r w:rsidRPr="00C2454A">
              <w:rPr>
                <w:rFonts w:ascii="Times New Roman" w:eastAsia="Times New Roman" w:hAnsi="Times New Roman" w:cs="Times New Roman"/>
                <w:lang w:eastAsia="pl-PL"/>
              </w:rPr>
              <w:t>rozp</w:t>
            </w:r>
            <w:proofErr w:type="spellEnd"/>
            <w:r w:rsidRPr="00C2454A">
              <w:rPr>
                <w:rFonts w:ascii="Times New Roman" w:eastAsia="Times New Roman" w:hAnsi="Times New Roman" w:cs="Times New Roman"/>
                <w:lang w:eastAsia="pl-PL"/>
              </w:rPr>
              <w:t xml:space="preserve">. 2018/1862 zasadę, zgodnie z którą państwo członkowskie dokonujące wpisu odpowiada </w:t>
            </w:r>
            <w:r w:rsidRPr="00C2454A">
              <w:rPr>
                <w:rFonts w:ascii="Times New Roman" w:eastAsia="Times New Roman" w:hAnsi="Times New Roman" w:cs="Times New Roman"/>
                <w:lang w:eastAsia="pl-PL"/>
              </w:rPr>
              <w:lastRenderedPageBreak/>
              <w:t>za zapewnienie, by dane były prawidłowe, aktualne i wprowadzane do SIS oraz przechowywane w SIS zgodnie z prawem;</w:t>
            </w:r>
          </w:p>
          <w:p w14:paraId="294ACEB8" w14:textId="6DCC7BB1" w:rsidR="00A924A6" w:rsidRPr="00C2454A" w:rsidRDefault="00A924A6" w:rsidP="00073105">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 </w:t>
            </w:r>
            <w:r w:rsidRPr="00C2454A">
              <w:rPr>
                <w:rFonts w:ascii="Times New Roman" w:hAnsi="Times New Roman" w:cs="Times New Roman"/>
              </w:rPr>
              <w:t xml:space="preserve"> </w:t>
            </w:r>
            <w:r w:rsidRPr="00C2454A">
              <w:rPr>
                <w:rFonts w:ascii="Times New Roman" w:eastAsia="Times New Roman" w:hAnsi="Times New Roman" w:cs="Times New Roman"/>
                <w:lang w:eastAsia="pl-PL"/>
              </w:rPr>
              <w:t xml:space="preserve">ust. 1 i 2 w obowiązującym kształcie normuje sposób postępowania organu, który dokonał wpisu danych SIS, w przypadku stwierdzenia, że: zawarte we wpisie dane SIS są nieprawidłowe, upłynął okres konieczny do osiągnięcia celów, dla których wpis został dokonany, brak podstaw prawnych do dalszego przechowywania danych SIS, nie upłynął okres konieczny do osiągnięcia celów, dla których wpis został dokonany, a w ust. 3 </w:t>
            </w:r>
            <w:r w:rsidRPr="00C2454A">
              <w:rPr>
                <w:rFonts w:ascii="Times New Roman" w:hAnsi="Times New Roman" w:cs="Times New Roman"/>
              </w:rPr>
              <w:t xml:space="preserve"> </w:t>
            </w:r>
            <w:r w:rsidRPr="00C2454A">
              <w:rPr>
                <w:rFonts w:ascii="Times New Roman" w:eastAsia="Times New Roman" w:hAnsi="Times New Roman" w:cs="Times New Roman"/>
                <w:lang w:eastAsia="pl-PL"/>
              </w:rPr>
              <w:t>uregulowano obowiązki centralnego organu technicznego Krajowego Systemu Informatycznego w przypadku dokonanej modyfikacji danych SIS – powody zaniechania dostosowania ww. przepisów i pozostawienia jedynie dotychczasowego art. 23 ust. 4 ustawy są nieznane i niewyjaśnione w uzasadnieniu</w:t>
            </w:r>
          </w:p>
          <w:p w14:paraId="1A6601BA" w14:textId="46EE3C6F" w:rsidR="00A924A6" w:rsidRPr="00C2454A" w:rsidRDefault="00A924A6" w:rsidP="00073105">
            <w:pPr>
              <w:spacing w:after="0" w:line="276" w:lineRule="auto"/>
              <w:jc w:val="both"/>
              <w:rPr>
                <w:rFonts w:ascii="Times New Roman" w:eastAsia="Times New Roman" w:hAnsi="Times New Roman" w:cs="Times New Roman"/>
                <w:lang w:eastAsia="pl-PL"/>
              </w:rPr>
            </w:pPr>
          </w:p>
        </w:tc>
        <w:tc>
          <w:tcPr>
            <w:tcW w:w="5128" w:type="dxa"/>
            <w:tcBorders>
              <w:bottom w:val="single" w:sz="12" w:space="0" w:color="auto"/>
            </w:tcBorders>
            <w:shd w:val="clear" w:color="auto" w:fill="auto"/>
          </w:tcPr>
          <w:p w14:paraId="37838006" w14:textId="00B188DA" w:rsidR="00931B2C" w:rsidRDefault="00931B2C"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1307D274" w14:textId="04C3E3D9" w:rsidR="00F75ABC" w:rsidRDefault="00931B2C"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uwagę u</w:t>
            </w:r>
            <w:r w:rsidR="006A208D" w:rsidRPr="006A208D">
              <w:rPr>
                <w:rFonts w:ascii="Times New Roman" w:eastAsia="Times New Roman" w:hAnsi="Times New Roman" w:cs="Times New Roman"/>
                <w:lang w:eastAsia="pl-PL"/>
              </w:rPr>
              <w:t>względniono</w:t>
            </w:r>
            <w:r>
              <w:rPr>
                <w:rFonts w:ascii="Times New Roman" w:eastAsia="Times New Roman" w:hAnsi="Times New Roman" w:cs="Times New Roman"/>
                <w:lang w:eastAsia="pl-PL"/>
              </w:rPr>
              <w:t xml:space="preserve"> </w:t>
            </w:r>
            <w:r w:rsidR="006A208D">
              <w:rPr>
                <w:rFonts w:ascii="Times New Roman" w:eastAsia="Times New Roman" w:hAnsi="Times New Roman" w:cs="Times New Roman"/>
                <w:lang w:eastAsia="pl-PL"/>
              </w:rPr>
              <w:t xml:space="preserve">- vide </w:t>
            </w:r>
            <w:r w:rsidR="006A208D" w:rsidRPr="006A208D">
              <w:rPr>
                <w:rFonts w:ascii="Times New Roman" w:eastAsia="Times New Roman" w:hAnsi="Times New Roman" w:cs="Times New Roman"/>
                <w:lang w:eastAsia="pl-PL"/>
              </w:rPr>
              <w:t>uwag</w:t>
            </w:r>
            <w:r w:rsidR="006A208D">
              <w:rPr>
                <w:rFonts w:ascii="Times New Roman" w:eastAsia="Times New Roman" w:hAnsi="Times New Roman" w:cs="Times New Roman"/>
                <w:lang w:eastAsia="pl-PL"/>
              </w:rPr>
              <w:t>a</w:t>
            </w:r>
            <w:r w:rsidR="00F75ABC" w:rsidRPr="006A208D">
              <w:rPr>
                <w:rFonts w:ascii="Times New Roman" w:eastAsia="Times New Roman" w:hAnsi="Times New Roman" w:cs="Times New Roman"/>
                <w:lang w:eastAsia="pl-PL"/>
              </w:rPr>
              <w:t xml:space="preserve"> DPUE</w:t>
            </w:r>
            <w:r w:rsidR="00D877A8" w:rsidRPr="006A208D">
              <w:rPr>
                <w:rFonts w:ascii="Times New Roman" w:eastAsia="Times New Roman" w:hAnsi="Times New Roman" w:cs="Times New Roman"/>
                <w:lang w:eastAsia="pl-PL"/>
              </w:rPr>
              <w:t xml:space="preserve"> nr 4 </w:t>
            </w:r>
          </w:p>
          <w:p w14:paraId="478B815B" w14:textId="4BDD1665" w:rsidR="00A924A6" w:rsidRPr="00C2454A" w:rsidRDefault="00A924A6" w:rsidP="00C019E3">
            <w:pPr>
              <w:spacing w:after="0" w:line="276" w:lineRule="auto"/>
              <w:jc w:val="both"/>
              <w:rPr>
                <w:rFonts w:ascii="Times New Roman" w:eastAsia="Times New Roman" w:hAnsi="Times New Roman" w:cs="Times New Roman"/>
                <w:b/>
                <w:lang w:eastAsia="pl-PL"/>
              </w:rPr>
            </w:pPr>
          </w:p>
        </w:tc>
      </w:tr>
      <w:tr w:rsidR="00363626" w:rsidRPr="00C2454A" w14:paraId="7D5C2B0B" w14:textId="77777777" w:rsidTr="008A66B4">
        <w:tc>
          <w:tcPr>
            <w:tcW w:w="562" w:type="dxa"/>
            <w:tcBorders>
              <w:top w:val="single" w:sz="12" w:space="0" w:color="auto"/>
            </w:tcBorders>
            <w:shd w:val="clear" w:color="auto" w:fill="auto"/>
            <w:vAlign w:val="center"/>
          </w:tcPr>
          <w:p w14:paraId="2C073CBA" w14:textId="4AD335FA" w:rsidR="00363626" w:rsidRPr="00C2454A" w:rsidRDefault="00363626"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top w:val="single" w:sz="12" w:space="0" w:color="auto"/>
            </w:tcBorders>
            <w:shd w:val="clear" w:color="auto" w:fill="auto"/>
            <w:vAlign w:val="center"/>
          </w:tcPr>
          <w:p w14:paraId="2CB17587" w14:textId="36BA0F02" w:rsidR="00363626" w:rsidRPr="00C2454A" w:rsidRDefault="00363626" w:rsidP="005214A4">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tcBorders>
              <w:top w:val="single" w:sz="12" w:space="0" w:color="auto"/>
            </w:tcBorders>
            <w:shd w:val="clear" w:color="auto" w:fill="auto"/>
            <w:vAlign w:val="center"/>
          </w:tcPr>
          <w:p w14:paraId="2EF67A3C" w14:textId="2D2B5320" w:rsidR="00363626" w:rsidRPr="00C2454A" w:rsidRDefault="0036362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tytuł ustawy</w:t>
            </w:r>
          </w:p>
        </w:tc>
        <w:tc>
          <w:tcPr>
            <w:tcW w:w="6897" w:type="dxa"/>
            <w:tcBorders>
              <w:top w:val="single" w:sz="12" w:space="0" w:color="auto"/>
            </w:tcBorders>
            <w:shd w:val="clear" w:color="auto" w:fill="auto"/>
          </w:tcPr>
          <w:p w14:paraId="303D29B0" w14:textId="77777777" w:rsidR="00363626" w:rsidRPr="00C2454A" w:rsidRDefault="0036362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wskazano możliwość </w:t>
            </w:r>
            <w:r w:rsidRPr="00815BEF">
              <w:rPr>
                <w:rFonts w:ascii="Times New Roman" w:eastAsia="Times New Roman" w:hAnsi="Times New Roman" w:cs="Times New Roman"/>
                <w:lang w:eastAsia="pl-PL"/>
              </w:rPr>
              <w:t>ewentualnej zmiany w</w:t>
            </w:r>
            <w:r w:rsidRPr="00C2454A">
              <w:rPr>
                <w:rFonts w:ascii="Times New Roman" w:eastAsia="Times New Roman" w:hAnsi="Times New Roman" w:cs="Times New Roman"/>
                <w:lang w:eastAsia="pl-PL"/>
              </w:rPr>
              <w:t xml:space="preserve"> zakresie nazw systemów teleinformatycznych UE i sposobu ich wymienienia</w:t>
            </w:r>
          </w:p>
          <w:p w14:paraId="40BC207F" w14:textId="00D62091" w:rsidR="00363626" w:rsidRPr="00C2454A" w:rsidRDefault="00363626" w:rsidP="000772C6">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 VIS to obecnie tylko jeden z kilku wielkoskalowych systemów informatycznych Unii, które są wykorzystywane m.in. dla zarządzania granicami zewnętrznymi Unii oraz we współpracy sądowej w sprawach karnych, a cz</w:t>
            </w:r>
            <w:r w:rsidR="00774E88" w:rsidRPr="00C2454A">
              <w:rPr>
                <w:rFonts w:ascii="Times New Roman" w:eastAsia="Times New Roman" w:hAnsi="Times New Roman" w:cs="Times New Roman"/>
                <w:lang w:eastAsia="pl-PL"/>
              </w:rPr>
              <w:t>asem także w sprawach cywilnych</w:t>
            </w:r>
          </w:p>
        </w:tc>
        <w:tc>
          <w:tcPr>
            <w:tcW w:w="5128" w:type="dxa"/>
            <w:tcBorders>
              <w:top w:val="single" w:sz="12" w:space="0" w:color="auto"/>
            </w:tcBorders>
            <w:shd w:val="clear" w:color="auto" w:fill="auto"/>
          </w:tcPr>
          <w:p w14:paraId="30352ABE" w14:textId="02B5971D" w:rsidR="00B02539" w:rsidRDefault="00B02539"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09D8A992" w14:textId="311E48FF" w:rsidR="00BE6D25" w:rsidRPr="00C25754" w:rsidRDefault="00B02539"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uwagi </w:t>
            </w:r>
            <w:r w:rsidRPr="00C25754">
              <w:rPr>
                <w:rFonts w:ascii="Times New Roman" w:eastAsia="Times New Roman" w:hAnsi="Times New Roman" w:cs="Times New Roman"/>
                <w:lang w:eastAsia="pl-PL"/>
              </w:rPr>
              <w:t>nie uwzględniono</w:t>
            </w:r>
          </w:p>
          <w:p w14:paraId="465D1E31" w14:textId="52475FCB" w:rsidR="00BE6D25" w:rsidRPr="00BE6D25" w:rsidRDefault="00BE6D25" w:rsidP="00735B6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nowelizacja podyktowan</w:t>
            </w:r>
            <w:r w:rsidR="00735B60">
              <w:rPr>
                <w:rFonts w:ascii="Times New Roman" w:eastAsia="Times New Roman" w:hAnsi="Times New Roman" w:cs="Times New Roman"/>
                <w:lang w:eastAsia="pl-PL"/>
              </w:rPr>
              <w:t>a</w:t>
            </w:r>
            <w:r>
              <w:rPr>
                <w:rFonts w:ascii="Times New Roman" w:eastAsia="Times New Roman" w:hAnsi="Times New Roman" w:cs="Times New Roman"/>
                <w:lang w:eastAsia="pl-PL"/>
              </w:rPr>
              <w:t xml:space="preserve"> jest wyłącznie dostosowaniem krajowego porządku prawnego do regulacji wynikających z rozporządzeń SIS </w:t>
            </w:r>
            <w:proofErr w:type="spellStart"/>
            <w:r>
              <w:rPr>
                <w:rFonts w:ascii="Times New Roman" w:eastAsia="Times New Roman" w:hAnsi="Times New Roman" w:cs="Times New Roman"/>
                <w:lang w:eastAsia="pl-PL"/>
              </w:rPr>
              <w:t>recast</w:t>
            </w:r>
            <w:proofErr w:type="spellEnd"/>
            <w:r>
              <w:rPr>
                <w:rFonts w:ascii="Times New Roman" w:eastAsia="Times New Roman" w:hAnsi="Times New Roman" w:cs="Times New Roman"/>
                <w:lang w:eastAsia="pl-PL"/>
              </w:rPr>
              <w:t xml:space="preserve">, w których postulowana </w:t>
            </w:r>
            <w:r w:rsidR="00735B60">
              <w:rPr>
                <w:rFonts w:ascii="Times New Roman" w:eastAsia="Times New Roman" w:hAnsi="Times New Roman" w:cs="Times New Roman"/>
                <w:lang w:eastAsia="pl-PL"/>
              </w:rPr>
              <w:t xml:space="preserve">zmiana nazewnictwa </w:t>
            </w:r>
            <w:r>
              <w:rPr>
                <w:rFonts w:ascii="Times New Roman" w:eastAsia="Times New Roman" w:hAnsi="Times New Roman" w:cs="Times New Roman"/>
                <w:lang w:eastAsia="pl-PL"/>
              </w:rPr>
              <w:t>nie znajduje uzasadnienia</w:t>
            </w:r>
          </w:p>
        </w:tc>
      </w:tr>
      <w:tr w:rsidR="00363626" w:rsidRPr="00C2454A" w14:paraId="41239F1D" w14:textId="77777777" w:rsidTr="00F03A45">
        <w:tc>
          <w:tcPr>
            <w:tcW w:w="562" w:type="dxa"/>
            <w:shd w:val="clear" w:color="auto" w:fill="auto"/>
            <w:vAlign w:val="center"/>
          </w:tcPr>
          <w:p w14:paraId="06321298" w14:textId="67282321" w:rsidR="00363626" w:rsidRPr="00C2454A" w:rsidRDefault="00363626" w:rsidP="00C019E3">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4A0008F7" w14:textId="27E05A8E" w:rsidR="00363626" w:rsidRPr="00C2454A" w:rsidRDefault="00363626" w:rsidP="007A1A4A">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67D5B8AE" w14:textId="77777777" w:rsidR="00363626" w:rsidRPr="00C2454A" w:rsidRDefault="0036362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3 </w:t>
            </w:r>
          </w:p>
          <w:p w14:paraId="7E64CAF6" w14:textId="0D1AE499" w:rsidR="00363626" w:rsidRPr="00C2454A" w:rsidRDefault="00363626" w:rsidP="00C019E3">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 pkt 2</w:t>
            </w:r>
          </w:p>
        </w:tc>
        <w:tc>
          <w:tcPr>
            <w:tcW w:w="6897" w:type="dxa"/>
            <w:shd w:val="clear" w:color="auto" w:fill="auto"/>
          </w:tcPr>
          <w:p w14:paraId="2966DC5B" w14:textId="77777777" w:rsidR="00363626" w:rsidRPr="00C2454A" w:rsidRDefault="00363626" w:rsidP="000772C6">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należy rozważyć </w:t>
            </w:r>
            <w:r w:rsidRPr="006C1191">
              <w:rPr>
                <w:rFonts w:ascii="Times New Roman" w:eastAsia="Times New Roman" w:hAnsi="Times New Roman" w:cs="Times New Roman"/>
                <w:lang w:eastAsia="pl-PL"/>
              </w:rPr>
              <w:t>uzupełnienie treści poprzez</w:t>
            </w:r>
            <w:r w:rsidRPr="00C2454A">
              <w:rPr>
                <w:rFonts w:ascii="Times New Roman" w:eastAsia="Times New Roman" w:hAnsi="Times New Roman" w:cs="Times New Roman"/>
                <w:lang w:eastAsia="pl-PL"/>
              </w:rPr>
              <w:t xml:space="preserve"> określenie, że wpis danych SIS dot. osób poszukiwanych do tymczasowego aresztowania w celu przekazania osoby </w:t>
            </w:r>
            <w:r w:rsidRPr="00F03A45">
              <w:rPr>
                <w:rFonts w:ascii="Times New Roman" w:eastAsia="Times New Roman" w:hAnsi="Times New Roman" w:cs="Times New Roman"/>
                <w:lang w:eastAsia="pl-PL"/>
              </w:rPr>
              <w:t>ściganej może nastąpić także na podstawie</w:t>
            </w:r>
            <w:r w:rsidRPr="00C2454A">
              <w:rPr>
                <w:rFonts w:ascii="Times New Roman" w:eastAsia="Times New Roman" w:hAnsi="Times New Roman" w:cs="Times New Roman"/>
                <w:lang w:eastAsia="pl-PL"/>
              </w:rPr>
              <w:t xml:space="preserve"> nakazów aresztowania wydawanych zgodnie z umowami, zawartymi z innymi państwami, w celu wydawania osób na podstawie nakazu aresztowania i które przewidują przekazywanie takiego nakazu aresztowania za pośrednictwem SIS </w:t>
            </w:r>
          </w:p>
          <w:p w14:paraId="67075280" w14:textId="77777777" w:rsidR="00363626" w:rsidRPr="00C2454A" w:rsidRDefault="00363626" w:rsidP="000772C6">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 </w:t>
            </w:r>
          </w:p>
          <w:p w14:paraId="3588D37D" w14:textId="77777777" w:rsidR="00363626" w:rsidRPr="00C2454A" w:rsidRDefault="00363626" w:rsidP="000772C6">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lastRenderedPageBreak/>
              <w:t xml:space="preserve">1/ taką podstawę wpisu do SIS przewiduje expressis verbis art. 26 ust. 2 </w:t>
            </w:r>
            <w:proofErr w:type="spellStart"/>
            <w:r w:rsidRPr="00C2454A">
              <w:rPr>
                <w:rFonts w:ascii="Times New Roman" w:eastAsia="Times New Roman" w:hAnsi="Times New Roman" w:cs="Times New Roman"/>
                <w:lang w:eastAsia="pl-PL"/>
              </w:rPr>
              <w:t>rozp</w:t>
            </w:r>
            <w:proofErr w:type="spellEnd"/>
            <w:r w:rsidRPr="00C2454A">
              <w:rPr>
                <w:rFonts w:ascii="Times New Roman" w:eastAsia="Times New Roman" w:hAnsi="Times New Roman" w:cs="Times New Roman"/>
                <w:lang w:eastAsia="pl-PL"/>
              </w:rPr>
              <w:t>. 2018/1862</w:t>
            </w:r>
          </w:p>
          <w:p w14:paraId="7BCB3A65" w14:textId="7CFBC444" w:rsidR="00363626" w:rsidRPr="00C2454A" w:rsidRDefault="00363626" w:rsidP="005333B8">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2/ w polskim porządku prawnym istnieje obecnie możliwość</w:t>
            </w:r>
            <w:r w:rsidR="005333B8">
              <w:rPr>
                <w:rFonts w:ascii="Times New Roman" w:eastAsia="Times New Roman" w:hAnsi="Times New Roman" w:cs="Times New Roman"/>
                <w:lang w:eastAsia="pl-PL"/>
              </w:rPr>
              <w:t xml:space="preserve"> </w:t>
            </w:r>
            <w:r w:rsidRPr="00C2454A">
              <w:rPr>
                <w:rFonts w:ascii="Times New Roman" w:eastAsia="Times New Roman" w:hAnsi="Times New Roman" w:cs="Times New Roman"/>
                <w:lang w:eastAsia="pl-PL"/>
              </w:rPr>
              <w:t>wydawania nakazów aresztowania w relacjach z Norwegią i Islandią, na podstawie Umowy między Unią Europejską a Republiką Islandii i Królestwem Norwegii w sprawie procedury przekazywania osób pomiędzy państwami członkowskimi Unii Europejskiej a Islandią i Norwegią, podpisanej w Wiedniu dnia 28 czerwca 2006 r. (Dz. U. 2008 r. poz. 1423)</w:t>
            </w:r>
          </w:p>
        </w:tc>
        <w:tc>
          <w:tcPr>
            <w:tcW w:w="5128" w:type="dxa"/>
            <w:shd w:val="clear" w:color="auto" w:fill="auto"/>
          </w:tcPr>
          <w:p w14:paraId="76E07594" w14:textId="1C0BABE6" w:rsidR="001253B8" w:rsidRDefault="001253B8" w:rsidP="00C019E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526BD8E2" w14:textId="17955112" w:rsidR="002268A2" w:rsidRDefault="001253B8" w:rsidP="008B52A9">
            <w:pPr>
              <w:spacing w:after="0" w:line="276" w:lineRule="auto"/>
              <w:jc w:val="both"/>
              <w:rPr>
                <w:rFonts w:ascii="Times New Roman" w:hAnsi="Times New Roman" w:cs="Times New Roman"/>
              </w:rPr>
            </w:pPr>
            <w:r>
              <w:rPr>
                <w:rFonts w:ascii="Times New Roman" w:eastAsia="Times New Roman" w:hAnsi="Times New Roman" w:cs="Times New Roman"/>
                <w:lang w:eastAsia="pl-PL"/>
              </w:rPr>
              <w:t>uwagę u</w:t>
            </w:r>
            <w:r w:rsidR="00A92F56" w:rsidRPr="00A92F56">
              <w:rPr>
                <w:rFonts w:ascii="Times New Roman" w:eastAsia="Times New Roman" w:hAnsi="Times New Roman" w:cs="Times New Roman"/>
                <w:lang w:eastAsia="pl-PL"/>
              </w:rPr>
              <w:t>względniono</w:t>
            </w:r>
            <w:r>
              <w:rPr>
                <w:rFonts w:ascii="Times New Roman" w:eastAsia="Times New Roman" w:hAnsi="Times New Roman" w:cs="Times New Roman"/>
                <w:lang w:eastAsia="pl-PL"/>
              </w:rPr>
              <w:t xml:space="preserve"> </w:t>
            </w:r>
            <w:r w:rsidR="00A92F56" w:rsidRPr="00A92F56">
              <w:rPr>
                <w:rFonts w:ascii="Times New Roman" w:eastAsia="Times New Roman" w:hAnsi="Times New Roman" w:cs="Times New Roman"/>
                <w:lang w:eastAsia="pl-PL"/>
              </w:rPr>
              <w:t>- uzupełniono treść wskazanego przepisu:</w:t>
            </w:r>
            <w:r w:rsidR="001B4871">
              <w:rPr>
                <w:rFonts w:ascii="Times New Roman" w:eastAsia="Times New Roman" w:hAnsi="Times New Roman" w:cs="Times New Roman"/>
                <w:lang w:eastAsia="pl-PL"/>
              </w:rPr>
              <w:t xml:space="preserve"> </w:t>
            </w:r>
            <w:r w:rsidR="00A92F56" w:rsidRPr="00A92F56">
              <w:rPr>
                <w:rFonts w:ascii="Times New Roman" w:hAnsi="Times New Roman" w:cs="Times New Roman"/>
              </w:rPr>
              <w:t>„</w:t>
            </w:r>
            <w:r w:rsidR="008B52A9">
              <w:rPr>
                <w:rFonts w:ascii="Times New Roman" w:hAnsi="Times New Roman" w:cs="Times New Roman"/>
              </w:rPr>
              <w:t xml:space="preserve">(…) </w:t>
            </w:r>
            <w:r w:rsidR="008B52A9" w:rsidRPr="008B52A9">
              <w:rPr>
                <w:rFonts w:ascii="Times New Roman" w:hAnsi="Times New Roman" w:cs="Times New Roman"/>
              </w:rPr>
              <w:t>na podstawie europejskiego nakazu aresztowania lub na podstawie nakazu aresztowania wydanego zgodnie z zawartą w tym celu umową, która przewiduje przekazywanie takiego nakazu ar</w:t>
            </w:r>
            <w:r w:rsidR="008B52A9">
              <w:rPr>
                <w:rFonts w:ascii="Times New Roman" w:hAnsi="Times New Roman" w:cs="Times New Roman"/>
              </w:rPr>
              <w:t>esztowania za pośrednictwem SIS przysługuje (…)</w:t>
            </w:r>
            <w:r w:rsidR="00A92F56" w:rsidRPr="00A72D23">
              <w:rPr>
                <w:rFonts w:ascii="Times New Roman" w:hAnsi="Times New Roman" w:cs="Times New Roman"/>
              </w:rPr>
              <w:t>”</w:t>
            </w:r>
            <w:r w:rsidR="001B4871">
              <w:rPr>
                <w:rFonts w:ascii="Times New Roman" w:hAnsi="Times New Roman" w:cs="Times New Roman"/>
              </w:rPr>
              <w:t xml:space="preserve">; </w:t>
            </w:r>
            <w:r w:rsidR="002268A2">
              <w:rPr>
                <w:rFonts w:ascii="Times New Roman" w:hAnsi="Times New Roman" w:cs="Times New Roman"/>
              </w:rPr>
              <w:t xml:space="preserve">dokonano korekty uzasadnienia projektu </w:t>
            </w:r>
          </w:p>
          <w:p w14:paraId="255175DE" w14:textId="1E74C680" w:rsidR="006733FD" w:rsidRPr="00C2454A" w:rsidRDefault="006733FD" w:rsidP="006733FD">
            <w:pPr>
              <w:spacing w:after="0" w:line="276" w:lineRule="auto"/>
              <w:jc w:val="both"/>
              <w:rPr>
                <w:rFonts w:ascii="Times New Roman" w:eastAsia="Times New Roman" w:hAnsi="Times New Roman" w:cs="Times New Roman"/>
                <w:b/>
                <w:lang w:eastAsia="pl-PL"/>
              </w:rPr>
            </w:pPr>
          </w:p>
        </w:tc>
      </w:tr>
      <w:tr w:rsidR="00F3292B" w:rsidRPr="00C2454A" w14:paraId="2CB0217B" w14:textId="77777777" w:rsidTr="00F03A45">
        <w:tc>
          <w:tcPr>
            <w:tcW w:w="562" w:type="dxa"/>
            <w:shd w:val="clear" w:color="auto" w:fill="auto"/>
            <w:vAlign w:val="center"/>
          </w:tcPr>
          <w:p w14:paraId="3F061D9A" w14:textId="72B8E16B" w:rsidR="00F3292B" w:rsidRPr="00C2454A"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68AA77FB" w14:textId="4FF848F9"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6EC9CC9F" w14:textId="21748B96"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2 pkt 10</w:t>
            </w:r>
          </w:p>
        </w:tc>
        <w:tc>
          <w:tcPr>
            <w:tcW w:w="6897" w:type="dxa"/>
            <w:shd w:val="clear" w:color="auto" w:fill="auto"/>
          </w:tcPr>
          <w:p w14:paraId="12C6DDCF" w14:textId="780FA680"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zakwestionowano użycie wyrazu „pełną” </w:t>
            </w:r>
          </w:p>
          <w:p w14:paraId="4EBBD3F1" w14:textId="22B93382"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 Rozróżnienie na pełną i częściową kopię danych centralnej bazy danych SIS w akcie prawa unijnego </w:t>
            </w:r>
            <w:r w:rsidRPr="00F03A45">
              <w:rPr>
                <w:rFonts w:ascii="Times New Roman" w:eastAsia="Times New Roman" w:hAnsi="Times New Roman" w:cs="Times New Roman"/>
                <w:lang w:eastAsia="pl-PL"/>
              </w:rPr>
              <w:t xml:space="preserve">wynika ze zróżnicowanego zakresu udziału poszczególnych państw we współpracy </w:t>
            </w:r>
            <w:proofErr w:type="spellStart"/>
            <w:r w:rsidRPr="00F03A45">
              <w:rPr>
                <w:rFonts w:ascii="Times New Roman" w:eastAsia="Times New Roman" w:hAnsi="Times New Roman" w:cs="Times New Roman"/>
                <w:lang w:eastAsia="pl-PL"/>
              </w:rPr>
              <w:t>Schengen</w:t>
            </w:r>
            <w:proofErr w:type="spellEnd"/>
            <w:r w:rsidRPr="00F03A45">
              <w:rPr>
                <w:rFonts w:ascii="Times New Roman" w:eastAsia="Times New Roman" w:hAnsi="Times New Roman" w:cs="Times New Roman"/>
                <w:lang w:eastAsia="pl-PL"/>
              </w:rPr>
              <w:t xml:space="preserve"> - w przepisie ustawy takie rozróżnienie już nie ma większego uzasadnienia</w:t>
            </w:r>
          </w:p>
        </w:tc>
        <w:tc>
          <w:tcPr>
            <w:tcW w:w="5128" w:type="dxa"/>
            <w:shd w:val="clear" w:color="auto" w:fill="auto"/>
          </w:tcPr>
          <w:p w14:paraId="5AD7159A" w14:textId="4E987BFA" w:rsidR="00A04D8A" w:rsidRDefault="00A04D8A"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28FA7D92" w14:textId="7FF4BDA9" w:rsidR="00585F3E" w:rsidRPr="00585F3E" w:rsidRDefault="00A04D8A" w:rsidP="00A04D8A">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585F3E">
              <w:rPr>
                <w:rFonts w:ascii="Times New Roman" w:eastAsia="Times New Roman" w:hAnsi="Times New Roman" w:cs="Times New Roman"/>
                <w:lang w:eastAsia="pl-PL"/>
              </w:rPr>
              <w:t>u</w:t>
            </w:r>
            <w:r w:rsidR="00585F3E" w:rsidRPr="00585F3E">
              <w:rPr>
                <w:rFonts w:ascii="Times New Roman" w:eastAsia="Times New Roman" w:hAnsi="Times New Roman" w:cs="Times New Roman"/>
                <w:lang w:eastAsia="pl-PL"/>
              </w:rPr>
              <w:t>względniono</w:t>
            </w:r>
            <w:r>
              <w:rPr>
                <w:rFonts w:ascii="Times New Roman" w:eastAsia="Times New Roman" w:hAnsi="Times New Roman" w:cs="Times New Roman"/>
                <w:lang w:eastAsia="pl-PL"/>
              </w:rPr>
              <w:t xml:space="preserve"> </w:t>
            </w:r>
            <w:r w:rsidR="00585F3E">
              <w:rPr>
                <w:rFonts w:ascii="Times New Roman" w:eastAsia="Times New Roman" w:hAnsi="Times New Roman" w:cs="Times New Roman"/>
                <w:lang w:eastAsia="pl-PL"/>
              </w:rPr>
              <w:t>- wykreślono wskazane określenie w przepisie</w:t>
            </w:r>
          </w:p>
        </w:tc>
      </w:tr>
      <w:tr w:rsidR="00F3292B" w:rsidRPr="00C2454A" w14:paraId="34C5A918" w14:textId="77777777" w:rsidTr="00A1709C">
        <w:tc>
          <w:tcPr>
            <w:tcW w:w="562" w:type="dxa"/>
            <w:shd w:val="clear" w:color="auto" w:fill="auto"/>
            <w:vAlign w:val="center"/>
          </w:tcPr>
          <w:p w14:paraId="7DA0C7D7" w14:textId="08649C20" w:rsidR="00F3292B" w:rsidRPr="00DE2028"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1C1F760C" w14:textId="32118028"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7B7B9537" w14:textId="77777777"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ust. 1</w:t>
            </w:r>
          </w:p>
          <w:p w14:paraId="7E007668" w14:textId="228E8A3C"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pkt 7-9</w:t>
            </w:r>
          </w:p>
        </w:tc>
        <w:tc>
          <w:tcPr>
            <w:tcW w:w="6897" w:type="dxa"/>
            <w:shd w:val="clear" w:color="auto" w:fill="auto"/>
          </w:tcPr>
          <w:p w14:paraId="72CB81FE" w14:textId="7F34D399"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należy rozważyć, czy przepis w zakresie dot. uprawnień do bezpośredniego dostępu do Krajowego Systemu Informatycznego (KSI) w celu </w:t>
            </w:r>
            <w:r w:rsidRPr="00EE26EE">
              <w:rPr>
                <w:rFonts w:ascii="Times New Roman" w:eastAsia="Times New Roman" w:hAnsi="Times New Roman" w:cs="Times New Roman"/>
                <w:lang w:eastAsia="pl-PL"/>
              </w:rPr>
              <w:t>dokonywania wpisów danych SIS dot. przypadków uprowadzeń dzieci, nie powinien precyzować, jakie sądy, w jakich sprawach powinny posiadać uprawnienia (czy wszystkie</w:t>
            </w:r>
            <w:r w:rsidRPr="00C2454A">
              <w:rPr>
                <w:rFonts w:ascii="Times New Roman" w:eastAsia="Times New Roman" w:hAnsi="Times New Roman" w:cs="Times New Roman"/>
                <w:lang w:eastAsia="pl-PL"/>
              </w:rPr>
              <w:t xml:space="preserve"> sądy, czy tylko sądy orzekające w sprawach dotyczących uprowadzeń dzieci, itd.).</w:t>
            </w:r>
          </w:p>
        </w:tc>
        <w:tc>
          <w:tcPr>
            <w:tcW w:w="5128" w:type="dxa"/>
            <w:shd w:val="clear" w:color="auto" w:fill="auto"/>
          </w:tcPr>
          <w:p w14:paraId="279A6D3A" w14:textId="6A5D0F3A" w:rsidR="006F6E60" w:rsidRDefault="006F6E60"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2EACC31B" w14:textId="69411449" w:rsidR="00FB6634" w:rsidRPr="007B5DD4" w:rsidRDefault="006F6E60" w:rsidP="007B5DD4">
            <w:pPr>
              <w:spacing w:after="0" w:line="240" w:lineRule="auto"/>
              <w:jc w:val="both"/>
              <w:rPr>
                <w:rFonts w:ascii="Times New Roman" w:hAnsi="Times New Roman" w:cs="Times New Roman"/>
              </w:rPr>
            </w:pPr>
            <w:r w:rsidRPr="007B5DD4">
              <w:rPr>
                <w:rFonts w:ascii="Times New Roman" w:eastAsia="Times New Roman" w:hAnsi="Times New Roman" w:cs="Times New Roman"/>
                <w:lang w:eastAsia="pl-PL"/>
              </w:rPr>
              <w:t>uwag</w:t>
            </w:r>
            <w:r w:rsidR="00EE26EE" w:rsidRPr="007B5DD4">
              <w:rPr>
                <w:rFonts w:ascii="Times New Roman" w:eastAsia="Times New Roman" w:hAnsi="Times New Roman" w:cs="Times New Roman"/>
                <w:lang w:eastAsia="pl-PL"/>
              </w:rPr>
              <w:t xml:space="preserve">i nie uwzględniono </w:t>
            </w:r>
            <w:r w:rsidR="00DE2028" w:rsidRPr="007B5DD4">
              <w:rPr>
                <w:rFonts w:ascii="Times New Roman" w:eastAsia="Times New Roman" w:hAnsi="Times New Roman" w:cs="Times New Roman"/>
                <w:lang w:eastAsia="pl-PL"/>
              </w:rPr>
              <w:t xml:space="preserve">- wskazanie sądu jako organu uprawnionego w innych przepisach nie zostało w postulowany sposób dookreślone (np. </w:t>
            </w:r>
            <w:bookmarkStart w:id="0" w:name="_GoBack"/>
            <w:bookmarkEnd w:id="0"/>
            <w:r w:rsidR="007B5DD4" w:rsidRPr="007B5DD4">
              <w:rPr>
                <w:rFonts w:ascii="Times New Roman" w:hAnsi="Times New Roman" w:cs="Times New Roman"/>
              </w:rPr>
              <w:t>wpisy dot. osób poszukiwanych do tymczasowego aresztowania stanowią w istocie uprawnienie sądów orzekających w sprawach karnych)</w:t>
            </w:r>
          </w:p>
        </w:tc>
      </w:tr>
      <w:tr w:rsidR="00F3292B" w:rsidRPr="00C2454A" w14:paraId="2783C00B" w14:textId="77777777" w:rsidTr="00D9718E">
        <w:tc>
          <w:tcPr>
            <w:tcW w:w="562" w:type="dxa"/>
            <w:shd w:val="clear" w:color="auto" w:fill="auto"/>
            <w:vAlign w:val="center"/>
          </w:tcPr>
          <w:p w14:paraId="49EC344A" w14:textId="1A761497" w:rsidR="00F3292B" w:rsidRPr="00BD3FEC"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059EDB52" w14:textId="165AE7B0"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4D2B3611" w14:textId="77777777"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ust. 1</w:t>
            </w:r>
          </w:p>
          <w:p w14:paraId="3A508380" w14:textId="0DC5F93B"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pkt 7-9</w:t>
            </w:r>
          </w:p>
        </w:tc>
        <w:tc>
          <w:tcPr>
            <w:tcW w:w="6897" w:type="dxa"/>
            <w:shd w:val="clear" w:color="auto" w:fill="auto"/>
          </w:tcPr>
          <w:p w14:paraId="0AB413F8" w14:textId="77777777"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 </w:t>
            </w:r>
            <w:r w:rsidRPr="00BD3FEC">
              <w:rPr>
                <w:rFonts w:ascii="Times New Roman" w:eastAsia="Times New Roman" w:hAnsi="Times New Roman" w:cs="Times New Roman"/>
                <w:lang w:eastAsia="pl-PL"/>
              </w:rPr>
              <w:t>ich stosowanie w praktyce może być utrudnione przez brak jednolitej definicji „dziecka” w polskim prawie – sugestia posługiwania się pojęciem „małoletni”</w:t>
            </w:r>
          </w:p>
          <w:p w14:paraId="3DD18D82" w14:textId="1CD8BD48"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 1/ mechanicznie przeniesiono pojęcie z aktów prawa Unii, zapominając o zróżnicowaniu systemów prawa krajowego 2/ za ww. przemawia także treść art. 32 ust. 7 </w:t>
            </w:r>
            <w:proofErr w:type="spellStart"/>
            <w:r w:rsidRPr="00C2454A">
              <w:rPr>
                <w:rFonts w:ascii="Times New Roman" w:eastAsia="Times New Roman" w:hAnsi="Times New Roman" w:cs="Times New Roman"/>
                <w:lang w:eastAsia="pl-PL"/>
              </w:rPr>
              <w:t>rozp</w:t>
            </w:r>
            <w:proofErr w:type="spellEnd"/>
            <w:r w:rsidRPr="00C2454A">
              <w:rPr>
                <w:rFonts w:ascii="Times New Roman" w:eastAsia="Times New Roman" w:hAnsi="Times New Roman" w:cs="Times New Roman"/>
                <w:lang w:eastAsia="pl-PL"/>
              </w:rPr>
              <w:t xml:space="preserve">. 2018/1862 - nawet jeżeli  wydaje się pomijać różnice w prawie między </w:t>
            </w:r>
            <w:proofErr w:type="spellStart"/>
            <w:r w:rsidRPr="00C2454A">
              <w:rPr>
                <w:rFonts w:ascii="Times New Roman" w:eastAsia="Times New Roman" w:hAnsi="Times New Roman" w:cs="Times New Roman"/>
                <w:lang w:eastAsia="pl-PL"/>
              </w:rPr>
              <w:t>pcz</w:t>
            </w:r>
            <w:proofErr w:type="spellEnd"/>
            <w:r w:rsidRPr="00C2454A">
              <w:rPr>
                <w:rFonts w:ascii="Times New Roman" w:eastAsia="Times New Roman" w:hAnsi="Times New Roman" w:cs="Times New Roman"/>
                <w:lang w:eastAsia="pl-PL"/>
              </w:rPr>
              <w:t>, zwłaszcza w odniesieniu do tych krajów, które nie penalizują uprowadzenia dziecka przez rodzica lub opiekuna (jest zakresowo ograniczone do wykorzystywania SIS na potrzeby postępowania karnego - zob. art. 2 ust. 1 – postulat analogicznych do ww. rozwiązań w ramach współpracy w sprawach cywilnych)</w:t>
            </w:r>
          </w:p>
        </w:tc>
        <w:tc>
          <w:tcPr>
            <w:tcW w:w="5128" w:type="dxa"/>
            <w:shd w:val="clear" w:color="auto" w:fill="auto"/>
          </w:tcPr>
          <w:p w14:paraId="1B15C29C" w14:textId="2CD7A77A" w:rsidR="00BC66DD" w:rsidRDefault="00BC66DD"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5A8B378B" w14:textId="511D1D57" w:rsidR="00BD3FEC" w:rsidRPr="00BD3FEC" w:rsidRDefault="00BC66DD" w:rsidP="00BC66DD">
            <w:pPr>
              <w:tabs>
                <w:tab w:val="center" w:pos="2456"/>
              </w:tabs>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BD3FEC" w:rsidRPr="00BD3FEC">
              <w:rPr>
                <w:rFonts w:ascii="Times New Roman" w:eastAsia="Times New Roman" w:hAnsi="Times New Roman" w:cs="Times New Roman"/>
                <w:lang w:eastAsia="pl-PL"/>
              </w:rPr>
              <w:t>uwzględniono</w:t>
            </w:r>
            <w:r>
              <w:rPr>
                <w:rFonts w:ascii="Times New Roman" w:eastAsia="Times New Roman" w:hAnsi="Times New Roman" w:cs="Times New Roman"/>
                <w:lang w:eastAsia="pl-PL"/>
              </w:rPr>
              <w:tab/>
              <w:t xml:space="preserve"> </w:t>
            </w:r>
            <w:r w:rsidR="00BD3FEC" w:rsidRPr="00BD3FEC">
              <w:rPr>
                <w:rFonts w:ascii="Times New Roman" w:eastAsia="Times New Roman" w:hAnsi="Times New Roman" w:cs="Times New Roman"/>
                <w:lang w:eastAsia="pl-PL"/>
              </w:rPr>
              <w:t xml:space="preserve">- </w:t>
            </w:r>
            <w:r w:rsidR="000D65AC">
              <w:rPr>
                <w:rFonts w:ascii="Times New Roman" w:eastAsia="Times New Roman" w:hAnsi="Times New Roman" w:cs="Times New Roman"/>
                <w:lang w:eastAsia="pl-PL"/>
              </w:rPr>
              <w:t xml:space="preserve">w projekcie </w:t>
            </w:r>
            <w:r w:rsidR="00BF429A">
              <w:rPr>
                <w:rFonts w:ascii="Times New Roman" w:eastAsia="Times New Roman" w:hAnsi="Times New Roman" w:cs="Times New Roman"/>
                <w:lang w:eastAsia="pl-PL"/>
              </w:rPr>
              <w:t xml:space="preserve">w zakresie art. 3 i 4 </w:t>
            </w:r>
            <w:r w:rsidR="00BD3FEC" w:rsidRPr="00BD3FEC">
              <w:rPr>
                <w:rFonts w:ascii="Times New Roman" w:eastAsia="Times New Roman" w:hAnsi="Times New Roman" w:cs="Times New Roman"/>
                <w:lang w:eastAsia="pl-PL"/>
              </w:rPr>
              <w:t>zastąpiono pojęcie</w:t>
            </w:r>
            <w:r>
              <w:rPr>
                <w:rFonts w:ascii="Times New Roman" w:eastAsia="Times New Roman" w:hAnsi="Times New Roman" w:cs="Times New Roman"/>
                <w:lang w:eastAsia="pl-PL"/>
              </w:rPr>
              <w:t xml:space="preserve"> „dziecka” pojęciem „małoletni”;</w:t>
            </w:r>
            <w:r w:rsidR="00BD3FEC" w:rsidRPr="00BD3FEC">
              <w:rPr>
                <w:rFonts w:ascii="Times New Roman" w:eastAsia="Times New Roman" w:hAnsi="Times New Roman" w:cs="Times New Roman"/>
                <w:lang w:eastAsia="pl-PL"/>
              </w:rPr>
              <w:t xml:space="preserve"> dokonano korekty uzasadnienia projektu i OSR</w:t>
            </w:r>
          </w:p>
          <w:p w14:paraId="31807135" w14:textId="40952B86" w:rsidR="003C58C6" w:rsidRPr="00BD3FEC" w:rsidRDefault="003C58C6" w:rsidP="00342A1B">
            <w:pPr>
              <w:spacing w:after="0" w:line="276" w:lineRule="auto"/>
              <w:jc w:val="both"/>
              <w:rPr>
                <w:rFonts w:ascii="Times New Roman" w:eastAsia="Times New Roman" w:hAnsi="Times New Roman" w:cs="Times New Roman"/>
                <w:lang w:eastAsia="pl-PL"/>
              </w:rPr>
            </w:pPr>
          </w:p>
        </w:tc>
      </w:tr>
      <w:tr w:rsidR="00F3292B" w:rsidRPr="00C2454A" w14:paraId="08017CE7" w14:textId="77777777" w:rsidTr="00180209">
        <w:tc>
          <w:tcPr>
            <w:tcW w:w="562" w:type="dxa"/>
            <w:shd w:val="clear" w:color="auto" w:fill="auto"/>
            <w:vAlign w:val="center"/>
          </w:tcPr>
          <w:p w14:paraId="74EB3B16" w14:textId="04E350CD" w:rsidR="00F3292B" w:rsidRPr="00C2454A"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7F46A5D6" w14:textId="64FEC08B"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5CB5C501" w14:textId="765DC00A"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uzasadnienie dot. art. 3 </w:t>
            </w:r>
          </w:p>
          <w:p w14:paraId="545503D8" w14:textId="4453AC7A"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 pkt 3</w:t>
            </w:r>
          </w:p>
        </w:tc>
        <w:tc>
          <w:tcPr>
            <w:tcW w:w="6897" w:type="dxa"/>
            <w:shd w:val="clear" w:color="auto" w:fill="auto"/>
          </w:tcPr>
          <w:p w14:paraId="4EA69D26" w14:textId="34A5C550"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w celu uniknięcia w przyszłości problemów interpretacyjnych należy uwypuklić w uzasadnieniu projektu źródło zmiany w stosunku do obowiązującego stanu prawnego dot. możliwość dokonania wpisu osoby poszukiwanej dla ustalenia miejsca pobytu, tj. treść art. 34 ww. </w:t>
            </w:r>
            <w:proofErr w:type="spellStart"/>
            <w:r w:rsidRPr="00C2454A">
              <w:rPr>
                <w:rFonts w:ascii="Times New Roman" w:eastAsia="Times New Roman" w:hAnsi="Times New Roman" w:cs="Times New Roman"/>
                <w:lang w:eastAsia="pl-PL"/>
              </w:rPr>
              <w:t>rozp</w:t>
            </w:r>
            <w:proofErr w:type="spellEnd"/>
            <w:r w:rsidRPr="00C2454A">
              <w:rPr>
                <w:rFonts w:ascii="Times New Roman" w:eastAsia="Times New Roman" w:hAnsi="Times New Roman" w:cs="Times New Roman"/>
                <w:lang w:eastAsia="pl-PL"/>
              </w:rPr>
              <w:t>. 2018/1862 określającego w ten sam sposób możliwość dokonywania wpisów do SIS na tej podstawie.</w:t>
            </w:r>
          </w:p>
          <w:p w14:paraId="5C814E1C" w14:textId="07860BB6"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 </w:t>
            </w:r>
            <w:r w:rsidRPr="00477088">
              <w:rPr>
                <w:rFonts w:ascii="Times New Roman" w:eastAsia="Times New Roman" w:hAnsi="Times New Roman" w:cs="Times New Roman"/>
                <w:lang w:eastAsia="pl-PL"/>
              </w:rPr>
              <w:t>aktualnie wpis na tej podstawie jest możliwy m. in. w odniesieniu do wszystkich skazanych, wobec których powinien zostać wykonany wyrok - podczas gdy w projektowanym przepisie możliwość taką przewidziano jedynie wobec osób, którym ma zostać doręczone wezwanie do stawienia się w celu odbycia kary pozbawienia wolności (</w:t>
            </w:r>
            <w:r w:rsidRPr="00477088">
              <w:rPr>
                <w:rFonts w:ascii="Times New Roman" w:eastAsia="Times New Roman" w:hAnsi="Times New Roman" w:cs="Times New Roman"/>
                <w:u w:val="single"/>
                <w:lang w:eastAsia="pl-PL"/>
              </w:rPr>
              <w:t>zawężenie zakresu)</w:t>
            </w:r>
            <w:r w:rsidRPr="00C2454A">
              <w:rPr>
                <w:rFonts w:ascii="Times New Roman" w:eastAsia="Times New Roman" w:hAnsi="Times New Roman" w:cs="Times New Roman"/>
                <w:lang w:eastAsia="pl-PL"/>
              </w:rPr>
              <w:t xml:space="preserve"> </w:t>
            </w:r>
          </w:p>
        </w:tc>
        <w:tc>
          <w:tcPr>
            <w:tcW w:w="5128" w:type="dxa"/>
            <w:shd w:val="clear" w:color="auto" w:fill="auto"/>
          </w:tcPr>
          <w:p w14:paraId="0204BFEE" w14:textId="0B43BA7F" w:rsidR="00FE10FA" w:rsidRDefault="00FE10FA"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08D69B25" w14:textId="2ADAAB23" w:rsidR="00F3292B" w:rsidRDefault="00FE10FA"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D91AC8">
              <w:rPr>
                <w:rFonts w:ascii="Times New Roman" w:eastAsia="Times New Roman" w:hAnsi="Times New Roman" w:cs="Times New Roman"/>
                <w:lang w:eastAsia="pl-PL"/>
              </w:rPr>
              <w:t>u</w:t>
            </w:r>
            <w:r w:rsidR="00A217BD">
              <w:rPr>
                <w:rFonts w:ascii="Times New Roman" w:eastAsia="Times New Roman" w:hAnsi="Times New Roman" w:cs="Times New Roman"/>
                <w:lang w:eastAsia="pl-PL"/>
              </w:rPr>
              <w:t>względnio</w:t>
            </w:r>
            <w:r w:rsidR="00A217BD" w:rsidRPr="00FE10FA">
              <w:rPr>
                <w:rFonts w:ascii="Times New Roman" w:eastAsia="Times New Roman" w:hAnsi="Times New Roman" w:cs="Times New Roman"/>
                <w:lang w:eastAsia="pl-PL"/>
              </w:rPr>
              <w:t>no</w:t>
            </w:r>
            <w:r w:rsidR="00D91AC8" w:rsidRPr="00FE10FA">
              <w:rPr>
                <w:rFonts w:ascii="Times New Roman" w:eastAsia="Times New Roman" w:hAnsi="Times New Roman" w:cs="Times New Roman"/>
                <w:lang w:eastAsia="pl-PL"/>
              </w:rPr>
              <w:t xml:space="preserve"> </w:t>
            </w:r>
            <w:r w:rsidR="00600EEC" w:rsidRPr="00FE10FA">
              <w:rPr>
                <w:rFonts w:ascii="Times New Roman" w:eastAsia="Times New Roman" w:hAnsi="Times New Roman" w:cs="Times New Roman"/>
                <w:lang w:eastAsia="pl-PL"/>
              </w:rPr>
              <w:t>częściowo</w:t>
            </w:r>
          </w:p>
          <w:p w14:paraId="63D641FC" w14:textId="07EF6CF5" w:rsidR="00B977DC" w:rsidRDefault="00B977DC" w:rsidP="00A217BD">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1/</w:t>
            </w:r>
            <w:r w:rsidR="00F82A5A">
              <w:rPr>
                <w:rFonts w:ascii="Times New Roman" w:eastAsia="Times New Roman" w:hAnsi="Times New Roman" w:cs="Times New Roman"/>
                <w:lang w:eastAsia="pl-PL"/>
              </w:rPr>
              <w:t xml:space="preserve"> </w:t>
            </w:r>
            <w:r w:rsidR="00A217BD">
              <w:rPr>
                <w:rFonts w:ascii="Times New Roman" w:eastAsia="Times New Roman" w:hAnsi="Times New Roman" w:cs="Times New Roman"/>
                <w:lang w:eastAsia="pl-PL"/>
              </w:rPr>
              <w:t xml:space="preserve">uzupełniono uzasadnienie wskazując motywy odmiennego zredagowania </w:t>
            </w:r>
            <w:r>
              <w:rPr>
                <w:rFonts w:ascii="Times New Roman" w:eastAsia="Times New Roman" w:hAnsi="Times New Roman" w:cs="Times New Roman"/>
                <w:lang w:eastAsia="pl-PL"/>
              </w:rPr>
              <w:t xml:space="preserve">treści </w:t>
            </w:r>
            <w:r w:rsidR="004B36A2">
              <w:rPr>
                <w:rFonts w:ascii="Times New Roman" w:eastAsia="Times New Roman" w:hAnsi="Times New Roman" w:cs="Times New Roman"/>
                <w:lang w:eastAsia="pl-PL"/>
              </w:rPr>
              <w:t>przepisu;</w:t>
            </w:r>
          </w:p>
          <w:p w14:paraId="1CCC71E0" w14:textId="74358D1D" w:rsidR="00B977DC" w:rsidRPr="00B977DC" w:rsidRDefault="00B977DC" w:rsidP="00B977D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00600EEC">
              <w:rPr>
                <w:rFonts w:ascii="Times New Roman" w:eastAsia="Times New Roman" w:hAnsi="Times New Roman" w:cs="Times New Roman"/>
                <w:lang w:eastAsia="pl-PL"/>
              </w:rPr>
              <w:t xml:space="preserve">wynik </w:t>
            </w:r>
            <w:r>
              <w:rPr>
                <w:rFonts w:ascii="Times New Roman" w:eastAsia="Times New Roman" w:hAnsi="Times New Roman" w:cs="Times New Roman"/>
                <w:lang w:eastAsia="pl-PL"/>
              </w:rPr>
              <w:t>porównani</w:t>
            </w:r>
            <w:r w:rsidR="00600EEC">
              <w:rPr>
                <w:rFonts w:ascii="Times New Roman" w:eastAsia="Times New Roman" w:hAnsi="Times New Roman" w:cs="Times New Roman"/>
                <w:lang w:eastAsia="pl-PL"/>
              </w:rPr>
              <w:t>a</w:t>
            </w:r>
            <w:r>
              <w:rPr>
                <w:rFonts w:ascii="Times New Roman" w:eastAsia="Times New Roman" w:hAnsi="Times New Roman" w:cs="Times New Roman"/>
                <w:lang w:eastAsia="pl-PL"/>
              </w:rPr>
              <w:t xml:space="preserve"> d</w:t>
            </w:r>
            <w:r w:rsidRPr="00B977DC">
              <w:rPr>
                <w:rFonts w:ascii="Times New Roman" w:eastAsia="Times New Roman" w:hAnsi="Times New Roman" w:cs="Times New Roman"/>
                <w:lang w:eastAsia="pl-PL"/>
              </w:rPr>
              <w:t>otychczasow</w:t>
            </w:r>
            <w:r>
              <w:rPr>
                <w:rFonts w:ascii="Times New Roman" w:eastAsia="Times New Roman" w:hAnsi="Times New Roman" w:cs="Times New Roman"/>
                <w:lang w:eastAsia="pl-PL"/>
              </w:rPr>
              <w:t>ej treści przepisu</w:t>
            </w:r>
            <w:r w:rsidRPr="00B977DC">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odnoszącej się do wskazanego zakresu (</w:t>
            </w:r>
            <w:r w:rsidRPr="00B977DC">
              <w:rPr>
                <w:rFonts w:ascii="Times New Roman" w:eastAsia="Times New Roman" w:hAnsi="Times New Roman" w:cs="Times New Roman"/>
                <w:lang w:eastAsia="pl-PL"/>
              </w:rPr>
              <w:t>zgodnie z którą uprawnienie w celu dokonywa</w:t>
            </w:r>
            <w:r w:rsidR="00600EEC">
              <w:rPr>
                <w:rFonts w:ascii="Times New Roman" w:eastAsia="Times New Roman" w:hAnsi="Times New Roman" w:cs="Times New Roman"/>
                <w:lang w:eastAsia="pl-PL"/>
              </w:rPr>
              <w:t>nia wpisów danych SIS dotyczący:</w:t>
            </w:r>
            <w:r w:rsidRPr="00B977DC">
              <w:rPr>
                <w:rFonts w:ascii="Times New Roman" w:eastAsia="Times New Roman" w:hAnsi="Times New Roman" w:cs="Times New Roman"/>
                <w:lang w:eastAsia="pl-PL"/>
              </w:rPr>
              <w:t xml:space="preserve"> </w:t>
            </w:r>
          </w:p>
          <w:p w14:paraId="346983A8" w14:textId="2A7A9005" w:rsidR="00B977DC" w:rsidRPr="00B977DC" w:rsidRDefault="00600EEC" w:rsidP="00B977D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a/</w:t>
            </w:r>
            <w:r w:rsidR="00B977DC" w:rsidRPr="00B977DC">
              <w:rPr>
                <w:rFonts w:ascii="Times New Roman" w:eastAsia="Times New Roman" w:hAnsi="Times New Roman" w:cs="Times New Roman"/>
                <w:lang w:eastAsia="pl-PL"/>
              </w:rPr>
              <w:t xml:space="preserve"> skazanych, wobec których powinien zostać wykonany wyrok w sprawie karnej lub w sprawie o przestępstwo skarbowe, lub </w:t>
            </w:r>
          </w:p>
          <w:p w14:paraId="4EECA463" w14:textId="4C8CD9B6" w:rsidR="00B977DC" w:rsidRDefault="00600EEC" w:rsidP="00B977D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b/</w:t>
            </w:r>
            <w:r w:rsidR="00B977DC" w:rsidRPr="00B977DC">
              <w:rPr>
                <w:rFonts w:ascii="Times New Roman" w:eastAsia="Times New Roman" w:hAnsi="Times New Roman" w:cs="Times New Roman"/>
                <w:lang w:eastAsia="pl-PL"/>
              </w:rPr>
              <w:t xml:space="preserve"> skazanych wezwanych do stawienia się w celu od</w:t>
            </w:r>
            <w:r>
              <w:rPr>
                <w:rFonts w:ascii="Times New Roman" w:eastAsia="Times New Roman" w:hAnsi="Times New Roman" w:cs="Times New Roman"/>
                <w:lang w:eastAsia="pl-PL"/>
              </w:rPr>
              <w:t>bycia kary pozbawienia wolności)</w:t>
            </w:r>
          </w:p>
          <w:p w14:paraId="1C792074" w14:textId="7E2102F4" w:rsidR="00B977DC" w:rsidRPr="00B977DC" w:rsidRDefault="00600EEC" w:rsidP="00600EE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 proponowaną w projekcie i zgodną z redakcją art. 34 ust. 1 lit. c i d rozporządzenia 2018/1862</w:t>
            </w:r>
            <w:r w:rsidR="00B977DC" w:rsidRPr="00B977DC">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(zgodnie z którym </w:t>
            </w:r>
            <w:r w:rsidR="00B977DC" w:rsidRPr="00B977DC">
              <w:rPr>
                <w:rFonts w:ascii="Times New Roman" w:eastAsia="Times New Roman" w:hAnsi="Times New Roman" w:cs="Times New Roman"/>
                <w:lang w:eastAsia="pl-PL"/>
              </w:rPr>
              <w:t>wpisy do SIS dotyczą</w:t>
            </w:r>
            <w:r>
              <w:rPr>
                <w:rFonts w:ascii="Times New Roman" w:eastAsia="Times New Roman" w:hAnsi="Times New Roman" w:cs="Times New Roman"/>
                <w:lang w:eastAsia="pl-PL"/>
              </w:rPr>
              <w:t>:</w:t>
            </w:r>
          </w:p>
          <w:p w14:paraId="39AC9D77" w14:textId="00938AA5" w:rsidR="00B977DC" w:rsidRPr="00B977DC" w:rsidRDefault="00600EEC" w:rsidP="00B977D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 </w:t>
            </w:r>
            <w:r w:rsidR="00B977DC" w:rsidRPr="00B977DC">
              <w:rPr>
                <w:rFonts w:ascii="Times New Roman" w:eastAsia="Times New Roman" w:hAnsi="Times New Roman" w:cs="Times New Roman"/>
                <w:lang w:eastAsia="pl-PL"/>
              </w:rPr>
              <w:t>osób, którym ma zostać doręczony wyrok w sprawie karnej lub inne dokumenty związane z postępowaniem karnym, aby złożyły wyjaśnienia w sprawie czynów, za które są ścigane</w:t>
            </w:r>
            <w:r w:rsidR="00F24FE8">
              <w:rPr>
                <w:rFonts w:ascii="Times New Roman" w:eastAsia="Times New Roman" w:hAnsi="Times New Roman" w:cs="Times New Roman"/>
                <w:lang w:eastAsia="pl-PL"/>
              </w:rPr>
              <w:t xml:space="preserve"> (przy tym ww. objęto także postępowanie karne skarbowe – zgodnie z uwagą nr 22)</w:t>
            </w:r>
            <w:r w:rsidR="00B977DC" w:rsidRPr="00B977DC">
              <w:rPr>
                <w:rFonts w:ascii="Times New Roman" w:eastAsia="Times New Roman" w:hAnsi="Times New Roman" w:cs="Times New Roman"/>
                <w:lang w:eastAsia="pl-PL"/>
              </w:rPr>
              <w:t>;</w:t>
            </w:r>
          </w:p>
          <w:p w14:paraId="3E88A2B1" w14:textId="77777777" w:rsidR="00F82A5A" w:rsidRDefault="00600EEC" w:rsidP="00B977D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 </w:t>
            </w:r>
            <w:r w:rsidR="00B977DC" w:rsidRPr="00B977DC">
              <w:rPr>
                <w:rFonts w:ascii="Times New Roman" w:eastAsia="Times New Roman" w:hAnsi="Times New Roman" w:cs="Times New Roman"/>
                <w:lang w:eastAsia="pl-PL"/>
              </w:rPr>
              <w:t>osób, którym ma zostać doręczone wezwanie do stawienia się w celu od</w:t>
            </w:r>
            <w:r>
              <w:rPr>
                <w:rFonts w:ascii="Times New Roman" w:eastAsia="Times New Roman" w:hAnsi="Times New Roman" w:cs="Times New Roman"/>
                <w:lang w:eastAsia="pl-PL"/>
              </w:rPr>
              <w:t>bycia kary pozbawienia wolności)</w:t>
            </w:r>
          </w:p>
          <w:p w14:paraId="417386A7" w14:textId="306378A5" w:rsidR="00600EEC" w:rsidRPr="00D758A4" w:rsidRDefault="00600EEC" w:rsidP="00B977DC">
            <w:pPr>
              <w:spacing w:after="0" w:line="276" w:lineRule="auto"/>
              <w:jc w:val="both"/>
              <w:rPr>
                <w:rFonts w:ascii="Times New Roman" w:eastAsia="Times New Roman" w:hAnsi="Times New Roman" w:cs="Times New Roman"/>
                <w:u w:val="single"/>
                <w:lang w:eastAsia="pl-PL"/>
              </w:rPr>
            </w:pPr>
            <w:r w:rsidRPr="00D758A4">
              <w:rPr>
                <w:rFonts w:ascii="Times New Roman" w:eastAsia="Times New Roman" w:hAnsi="Times New Roman" w:cs="Times New Roman"/>
                <w:u w:val="single"/>
                <w:lang w:eastAsia="pl-PL"/>
              </w:rPr>
              <w:t>sprzeciwia się tezie o zawężeniu zakresu dyspozycji przepisu</w:t>
            </w:r>
          </w:p>
        </w:tc>
      </w:tr>
      <w:tr w:rsidR="00F3292B" w:rsidRPr="00C2454A" w14:paraId="3AA2D35C" w14:textId="77777777" w:rsidTr="005E5692">
        <w:tc>
          <w:tcPr>
            <w:tcW w:w="562" w:type="dxa"/>
            <w:shd w:val="clear" w:color="auto" w:fill="auto"/>
            <w:vAlign w:val="center"/>
          </w:tcPr>
          <w:p w14:paraId="0439CDD5" w14:textId="1AD64171" w:rsidR="00F3292B" w:rsidRPr="00C2454A"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389A10F6" w14:textId="1B2FC2AA"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09898A22" w14:textId="3F511FEF"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4 w zw. z art. 3 ust. 1 pkt 11</w:t>
            </w:r>
          </w:p>
        </w:tc>
        <w:tc>
          <w:tcPr>
            <w:tcW w:w="6897" w:type="dxa"/>
            <w:shd w:val="clear" w:color="auto" w:fill="auto"/>
          </w:tcPr>
          <w:p w14:paraId="75D1F923" w14:textId="49CB31A2" w:rsidR="00F3292B" w:rsidRPr="00610B9A" w:rsidRDefault="00F3292B" w:rsidP="00F3292B">
            <w:pPr>
              <w:spacing w:after="0" w:line="276" w:lineRule="auto"/>
              <w:jc w:val="both"/>
              <w:rPr>
                <w:rFonts w:ascii="Times New Roman" w:eastAsia="Times New Roman" w:hAnsi="Times New Roman" w:cs="Times New Roman"/>
                <w:lang w:eastAsia="pl-PL"/>
              </w:rPr>
            </w:pPr>
            <w:r w:rsidRPr="00610B9A">
              <w:rPr>
                <w:rFonts w:ascii="Times New Roman" w:eastAsia="Times New Roman" w:hAnsi="Times New Roman" w:cs="Times New Roman"/>
                <w:lang w:eastAsia="pl-PL"/>
              </w:rPr>
              <w:t>1/ konieczne wyjaśnienie nw. kształtu regulacji w uzasadnieniu projektu ustawy – jako przypadku wyjątkowego</w:t>
            </w:r>
          </w:p>
          <w:p w14:paraId="4D1E3646" w14:textId="7959D008" w:rsidR="00F3292B" w:rsidRPr="00610B9A" w:rsidRDefault="00F3292B" w:rsidP="00F3292B">
            <w:pPr>
              <w:spacing w:after="0" w:line="276" w:lineRule="auto"/>
              <w:jc w:val="both"/>
              <w:rPr>
                <w:rFonts w:ascii="Times New Roman" w:eastAsia="Times New Roman" w:hAnsi="Times New Roman" w:cs="Times New Roman"/>
                <w:lang w:eastAsia="pl-PL"/>
              </w:rPr>
            </w:pPr>
            <w:r w:rsidRPr="00610B9A">
              <w:rPr>
                <w:rFonts w:ascii="Times New Roman" w:eastAsia="Times New Roman" w:hAnsi="Times New Roman" w:cs="Times New Roman"/>
                <w:lang w:eastAsia="pl-PL"/>
              </w:rPr>
              <w:t>2/ należy rozważyć zapewnienie wglądu do tej kategorii wpisów dla sądu i prokuratury jako organów sprawujących nadzór nad czynnościami operacyjno-rozpoznawczymi</w:t>
            </w:r>
          </w:p>
          <w:p w14:paraId="7C84E8E1" w14:textId="36BC4CC1" w:rsidR="00F3292B" w:rsidRPr="00610B9A" w:rsidRDefault="00F3292B" w:rsidP="00F3292B">
            <w:pPr>
              <w:spacing w:after="0" w:line="276" w:lineRule="auto"/>
              <w:jc w:val="both"/>
              <w:rPr>
                <w:rFonts w:ascii="Times New Roman" w:eastAsia="Times New Roman" w:hAnsi="Times New Roman" w:cs="Times New Roman"/>
                <w:lang w:eastAsia="pl-PL"/>
              </w:rPr>
            </w:pPr>
            <w:r w:rsidRPr="00610B9A">
              <w:rPr>
                <w:rFonts w:ascii="Times New Roman" w:eastAsia="Times New Roman" w:hAnsi="Times New Roman" w:cs="Times New Roman"/>
                <w:lang w:eastAsia="pl-PL"/>
              </w:rPr>
              <w:lastRenderedPageBreak/>
              <w:t>U: brak określenia w art. 4 organów, które posiadają uprawnienie jedynie do wglądu do zamieszczonych w SIS danych – mimo przewidzianego  w art. 3 bezpośredniego dostępu do systemu dla wymienionych organów ścigania oraz ochrony bezpieczeństwa wewnętrznego i zewnętrznego państwa w celu dokonywania wpisów w odniesieniu do wpisów obejmujących m. in. rozpytania kontrolne.</w:t>
            </w:r>
          </w:p>
        </w:tc>
        <w:tc>
          <w:tcPr>
            <w:tcW w:w="5128" w:type="dxa"/>
            <w:shd w:val="clear" w:color="auto" w:fill="auto"/>
          </w:tcPr>
          <w:p w14:paraId="20590776" w14:textId="127FFFA1" w:rsidR="00EA23FB" w:rsidRDefault="00EA23FB"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550A3AE4" w14:textId="255B5EF8" w:rsidR="00B05F1A" w:rsidRDefault="00EA23FB"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5E5692">
              <w:rPr>
                <w:rFonts w:ascii="Times New Roman" w:eastAsia="Times New Roman" w:hAnsi="Times New Roman" w:cs="Times New Roman"/>
                <w:lang w:eastAsia="pl-PL"/>
              </w:rPr>
              <w:t>uwzględniono</w:t>
            </w:r>
            <w:r>
              <w:rPr>
                <w:rFonts w:ascii="Times New Roman" w:eastAsia="Times New Roman" w:hAnsi="Times New Roman" w:cs="Times New Roman"/>
                <w:lang w:eastAsia="pl-PL"/>
              </w:rPr>
              <w:t xml:space="preserve"> </w:t>
            </w:r>
            <w:r w:rsidR="00B05F1A">
              <w:rPr>
                <w:rFonts w:ascii="Times New Roman" w:eastAsia="Times New Roman" w:hAnsi="Times New Roman" w:cs="Times New Roman"/>
                <w:lang w:eastAsia="pl-PL"/>
              </w:rPr>
              <w:t xml:space="preserve">- </w:t>
            </w:r>
            <w:r w:rsidR="005E5692">
              <w:rPr>
                <w:rFonts w:ascii="Times New Roman" w:eastAsia="Times New Roman" w:hAnsi="Times New Roman" w:cs="Times New Roman"/>
                <w:lang w:eastAsia="pl-PL"/>
              </w:rPr>
              <w:t xml:space="preserve">przepis art. 4 ust. 1 pkt 11 uzupełniono o odniesienie do celów </w:t>
            </w:r>
            <w:r w:rsidR="005E5692" w:rsidRPr="005E5692">
              <w:rPr>
                <w:rFonts w:ascii="Times New Roman" w:eastAsia="Times New Roman" w:hAnsi="Times New Roman" w:cs="Times New Roman"/>
                <w:lang w:eastAsia="pl-PL"/>
              </w:rPr>
              <w:t xml:space="preserve">przeprowadzania kontroli niejawnej, rozpytania kontrolnego lub kontroli szczególnej </w:t>
            </w:r>
            <w:r w:rsidR="005E5692">
              <w:rPr>
                <w:rFonts w:ascii="Times New Roman" w:eastAsia="Times New Roman" w:hAnsi="Times New Roman" w:cs="Times New Roman"/>
                <w:lang w:eastAsia="pl-PL"/>
              </w:rPr>
              <w:t xml:space="preserve">opisanych szczegółowo w art. 3 ust. 1 pkt </w:t>
            </w:r>
            <w:r w:rsidR="005E5692">
              <w:rPr>
                <w:rFonts w:ascii="Times New Roman" w:eastAsia="Times New Roman" w:hAnsi="Times New Roman" w:cs="Times New Roman"/>
                <w:lang w:eastAsia="pl-PL"/>
              </w:rPr>
              <w:lastRenderedPageBreak/>
              <w:t>11 lit. a oraz lit.</w:t>
            </w:r>
            <w:r>
              <w:rPr>
                <w:rFonts w:ascii="Times New Roman" w:eastAsia="Times New Roman" w:hAnsi="Times New Roman" w:cs="Times New Roman"/>
                <w:lang w:eastAsia="pl-PL"/>
              </w:rPr>
              <w:t xml:space="preserve"> b; </w:t>
            </w:r>
            <w:r w:rsidR="005E5692">
              <w:rPr>
                <w:rFonts w:ascii="Times New Roman" w:eastAsia="Times New Roman" w:hAnsi="Times New Roman" w:cs="Times New Roman"/>
                <w:lang w:eastAsia="pl-PL"/>
              </w:rPr>
              <w:t xml:space="preserve">aktualnie </w:t>
            </w:r>
            <w:r w:rsidR="00B05F1A">
              <w:rPr>
                <w:rFonts w:ascii="Times New Roman" w:eastAsia="Times New Roman" w:hAnsi="Times New Roman" w:cs="Times New Roman"/>
                <w:lang w:eastAsia="pl-PL"/>
              </w:rPr>
              <w:t xml:space="preserve">katalog organów uprawnionych do wglądu wskazany w art. 4 ust. 1 pkt 11 jest tożsamy z katalogiem organów uprawnionych wskazanych w art. 3 ust. 1 pkt 11 lit. a i b; w art. 4 ust. 1 pkt 11 projektu przewidziano </w:t>
            </w:r>
            <w:r w:rsidR="005E5692">
              <w:rPr>
                <w:rFonts w:ascii="Times New Roman" w:eastAsia="Times New Roman" w:hAnsi="Times New Roman" w:cs="Times New Roman"/>
                <w:lang w:eastAsia="pl-PL"/>
              </w:rPr>
              <w:t>też dostęp dla sądu i prokuratora</w:t>
            </w:r>
            <w:r w:rsidR="00B05F1A">
              <w:rPr>
                <w:rFonts w:ascii="Times New Roman" w:eastAsia="Times New Roman" w:hAnsi="Times New Roman" w:cs="Times New Roman"/>
                <w:lang w:eastAsia="pl-PL"/>
              </w:rPr>
              <w:t xml:space="preserve"> </w:t>
            </w:r>
          </w:p>
          <w:p w14:paraId="64CD7F8B" w14:textId="3A27857B" w:rsidR="005A42CB" w:rsidRPr="00C2454A" w:rsidRDefault="005A42CB" w:rsidP="00B05F1A">
            <w:pPr>
              <w:spacing w:after="0" w:line="276" w:lineRule="auto"/>
              <w:jc w:val="both"/>
              <w:rPr>
                <w:rFonts w:ascii="Times New Roman" w:eastAsia="Times New Roman" w:hAnsi="Times New Roman" w:cs="Times New Roman"/>
                <w:lang w:eastAsia="pl-PL"/>
              </w:rPr>
            </w:pPr>
          </w:p>
        </w:tc>
      </w:tr>
      <w:tr w:rsidR="00F3292B" w:rsidRPr="00C2454A" w14:paraId="12D0FAC4" w14:textId="77777777" w:rsidTr="004B36A2">
        <w:tc>
          <w:tcPr>
            <w:tcW w:w="562" w:type="dxa"/>
            <w:shd w:val="clear" w:color="auto" w:fill="FFFFFF" w:themeFill="background1"/>
            <w:vAlign w:val="center"/>
          </w:tcPr>
          <w:p w14:paraId="1BC0474F" w14:textId="64E44F70" w:rsidR="00F3292B" w:rsidRPr="00C2454A"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3A7C6EBA" w14:textId="124BC369"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FFFFFF" w:themeFill="background1"/>
            <w:vAlign w:val="center"/>
          </w:tcPr>
          <w:p w14:paraId="52B0A4EB" w14:textId="7A77D931"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ust. 1 pkt 11</w:t>
            </w:r>
          </w:p>
        </w:tc>
        <w:tc>
          <w:tcPr>
            <w:tcW w:w="6897" w:type="dxa"/>
            <w:shd w:val="clear" w:color="auto" w:fill="FFFFFF" w:themeFill="background1"/>
          </w:tcPr>
          <w:p w14:paraId="0CB68941" w14:textId="621876B4" w:rsidR="002158C0" w:rsidRPr="004D57AC" w:rsidRDefault="00F3292B" w:rsidP="00F3292B">
            <w:pPr>
              <w:spacing w:after="0" w:line="276" w:lineRule="auto"/>
              <w:jc w:val="both"/>
              <w:rPr>
                <w:rFonts w:ascii="Times New Roman" w:eastAsia="Times New Roman" w:hAnsi="Times New Roman" w:cs="Times New Roman"/>
                <w:lang w:eastAsia="pl-PL"/>
              </w:rPr>
            </w:pPr>
            <w:r w:rsidRPr="004D57AC">
              <w:rPr>
                <w:rFonts w:ascii="Times New Roman" w:eastAsia="Times New Roman" w:hAnsi="Times New Roman" w:cs="Times New Roman"/>
                <w:lang w:eastAsia="pl-PL"/>
              </w:rPr>
              <w:t xml:space="preserve">należałoby potwierdzić, że w pojęciu „bezgotówkowych środków płatniczych” mieszczą się także </w:t>
            </w:r>
            <w:proofErr w:type="spellStart"/>
            <w:r w:rsidRPr="004D57AC">
              <w:rPr>
                <w:rFonts w:ascii="Times New Roman" w:eastAsia="Times New Roman" w:hAnsi="Times New Roman" w:cs="Times New Roman"/>
                <w:lang w:eastAsia="pl-PL"/>
              </w:rPr>
              <w:t>kryptowaluty</w:t>
            </w:r>
            <w:proofErr w:type="spellEnd"/>
            <w:r w:rsidRPr="004D57AC">
              <w:rPr>
                <w:rFonts w:ascii="Times New Roman" w:eastAsia="Times New Roman" w:hAnsi="Times New Roman" w:cs="Times New Roman"/>
                <w:lang w:eastAsia="pl-PL"/>
              </w:rPr>
              <w:t xml:space="preserve">, w szczególności stabilne </w:t>
            </w:r>
            <w:proofErr w:type="spellStart"/>
            <w:r w:rsidRPr="004D57AC">
              <w:rPr>
                <w:rFonts w:ascii="Times New Roman" w:eastAsia="Times New Roman" w:hAnsi="Times New Roman" w:cs="Times New Roman"/>
                <w:lang w:eastAsia="pl-PL"/>
              </w:rPr>
              <w:t>kryptowaluty</w:t>
            </w:r>
            <w:proofErr w:type="spellEnd"/>
            <w:r w:rsidRPr="004D57AC">
              <w:rPr>
                <w:rFonts w:ascii="Times New Roman" w:eastAsia="Times New Roman" w:hAnsi="Times New Roman" w:cs="Times New Roman"/>
                <w:lang w:eastAsia="pl-PL"/>
              </w:rPr>
              <w:t xml:space="preserve"> (w praktyce postępowania karnego dokonywano już zabezpieczenia, np. na </w:t>
            </w:r>
            <w:proofErr w:type="spellStart"/>
            <w:r w:rsidRPr="004D57AC">
              <w:rPr>
                <w:rFonts w:ascii="Times New Roman" w:eastAsia="Times New Roman" w:hAnsi="Times New Roman" w:cs="Times New Roman"/>
                <w:lang w:eastAsia="pl-PL"/>
              </w:rPr>
              <w:t>bitocoin</w:t>
            </w:r>
            <w:proofErr w:type="spellEnd"/>
            <w:r w:rsidRPr="004D57AC">
              <w:rPr>
                <w:rFonts w:ascii="Times New Roman" w:eastAsia="Times New Roman" w:hAnsi="Times New Roman" w:cs="Times New Roman"/>
                <w:lang w:eastAsia="pl-PL"/>
              </w:rPr>
              <w:t>)</w:t>
            </w:r>
            <w:r w:rsidR="00B7445F" w:rsidRPr="004D57AC">
              <w:rPr>
                <w:rFonts w:ascii="Times New Roman" w:eastAsia="Times New Roman" w:hAnsi="Times New Roman" w:cs="Times New Roman"/>
                <w:lang w:eastAsia="pl-PL"/>
              </w:rPr>
              <w:t>;</w:t>
            </w:r>
          </w:p>
          <w:p w14:paraId="563D9624" w14:textId="4CBCA760" w:rsidR="00943C92" w:rsidRPr="004D57AC" w:rsidRDefault="002158C0" w:rsidP="002158C0">
            <w:pPr>
              <w:spacing w:after="0" w:line="276" w:lineRule="auto"/>
              <w:jc w:val="both"/>
              <w:rPr>
                <w:rFonts w:ascii="Times New Roman" w:eastAsia="Times New Roman" w:hAnsi="Times New Roman" w:cs="Times New Roman"/>
                <w:lang w:eastAsia="pl-PL"/>
              </w:rPr>
            </w:pPr>
            <w:r w:rsidRPr="004D57AC">
              <w:rPr>
                <w:rFonts w:ascii="Times New Roman" w:eastAsia="Times New Roman" w:hAnsi="Times New Roman" w:cs="Times New Roman"/>
                <w:lang w:eastAsia="pl-PL"/>
              </w:rPr>
              <w:t xml:space="preserve">U: Komisja nie wydała jeszcze aktu delegowanego, który pozwalałby na jaśniejszą klasyfikację wpisów i oznaczenie dóbr podlegających wpisowi; do ujednolicenia terminologii w odniesieniu do niematerialnych, cyfrowych aktywów o znacznej wartości może przyczynić się rozporządzenie PE i Rady w sprawie rynków </w:t>
            </w:r>
            <w:proofErr w:type="spellStart"/>
            <w:r w:rsidRPr="004D57AC">
              <w:rPr>
                <w:rFonts w:ascii="Times New Roman" w:eastAsia="Times New Roman" w:hAnsi="Times New Roman" w:cs="Times New Roman"/>
                <w:lang w:eastAsia="pl-PL"/>
              </w:rPr>
              <w:t>kryptoaktywów</w:t>
            </w:r>
            <w:proofErr w:type="spellEnd"/>
            <w:r w:rsidRPr="004D57AC">
              <w:rPr>
                <w:rFonts w:ascii="Times New Roman" w:eastAsia="Times New Roman" w:hAnsi="Times New Roman" w:cs="Times New Roman"/>
                <w:lang w:eastAsia="pl-PL"/>
              </w:rPr>
              <w:t xml:space="preserve"> i zmieniające dyrektywę (UE) 2019/1937, procedowane obecnie w Radzie UE</w:t>
            </w:r>
            <w:r w:rsidR="009D5FC4" w:rsidRPr="004D57AC">
              <w:rPr>
                <w:rFonts w:ascii="Times New Roman" w:eastAsia="Times New Roman" w:hAnsi="Times New Roman" w:cs="Times New Roman"/>
                <w:lang w:eastAsia="pl-PL"/>
              </w:rPr>
              <w:t>.</w:t>
            </w:r>
          </w:p>
          <w:p w14:paraId="5DB3B2EC" w14:textId="4260D92C" w:rsidR="00F3292B" w:rsidRPr="004D57AC" w:rsidRDefault="00F3292B" w:rsidP="002158C0">
            <w:pPr>
              <w:spacing w:after="0" w:line="276" w:lineRule="auto"/>
              <w:jc w:val="both"/>
              <w:rPr>
                <w:rFonts w:ascii="Times New Roman" w:eastAsia="Times New Roman" w:hAnsi="Times New Roman" w:cs="Times New Roman"/>
                <w:lang w:eastAsia="pl-PL"/>
              </w:rPr>
            </w:pPr>
          </w:p>
        </w:tc>
        <w:tc>
          <w:tcPr>
            <w:tcW w:w="5128" w:type="dxa"/>
            <w:shd w:val="clear" w:color="auto" w:fill="FFFFFF" w:themeFill="background1"/>
          </w:tcPr>
          <w:p w14:paraId="435620C3" w14:textId="77777777" w:rsidR="0015589A" w:rsidRDefault="00461104"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uzgodniono </w:t>
            </w:r>
          </w:p>
          <w:p w14:paraId="0806A20A" w14:textId="720CD233" w:rsidR="00943C92" w:rsidRDefault="00461104" w:rsidP="004B36A2">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 tym zakresie uzgodniono konieczność usunięcia z projektu </w:t>
            </w:r>
            <w:r w:rsidR="00B7445F" w:rsidRPr="00FD6BD4">
              <w:rPr>
                <w:rFonts w:ascii="Times New Roman" w:eastAsia="Times New Roman" w:hAnsi="Times New Roman" w:cs="Times New Roman"/>
                <w:lang w:eastAsia="pl-PL"/>
              </w:rPr>
              <w:t>zapis</w:t>
            </w:r>
            <w:r>
              <w:rPr>
                <w:rFonts w:ascii="Times New Roman" w:eastAsia="Times New Roman" w:hAnsi="Times New Roman" w:cs="Times New Roman"/>
                <w:lang w:eastAsia="pl-PL"/>
              </w:rPr>
              <w:t>u</w:t>
            </w:r>
            <w:r w:rsidR="00B7445F" w:rsidRPr="00FD6BD4">
              <w:rPr>
                <w:rFonts w:ascii="Times New Roman" w:eastAsia="Times New Roman" w:hAnsi="Times New Roman" w:cs="Times New Roman"/>
                <w:lang w:eastAsia="pl-PL"/>
              </w:rPr>
              <w:t xml:space="preserve"> „w tym walut wirtualnych”</w:t>
            </w:r>
            <w:r w:rsidR="00D60BDA" w:rsidRPr="00FD6BD4">
              <w:rPr>
                <w:rFonts w:ascii="Times New Roman" w:eastAsia="Times New Roman" w:hAnsi="Times New Roman" w:cs="Times New Roman"/>
                <w:lang w:eastAsia="pl-PL"/>
              </w:rPr>
              <w:t xml:space="preserve"> (analogicznie </w:t>
            </w:r>
            <w:r>
              <w:rPr>
                <w:rFonts w:ascii="Times New Roman" w:eastAsia="Times New Roman" w:hAnsi="Times New Roman" w:cs="Times New Roman"/>
                <w:lang w:eastAsia="pl-PL"/>
              </w:rPr>
              <w:t xml:space="preserve">w art. 4 ust. 1 pkt 11 oraz skorygowanie </w:t>
            </w:r>
            <w:r w:rsidR="005B2AB7" w:rsidRPr="00FD6BD4">
              <w:rPr>
                <w:rFonts w:ascii="Times New Roman" w:eastAsia="Times New Roman" w:hAnsi="Times New Roman" w:cs="Times New Roman"/>
                <w:lang w:eastAsia="pl-PL"/>
              </w:rPr>
              <w:t xml:space="preserve">uzasadnienia </w:t>
            </w:r>
            <w:r w:rsidR="00D60BDA" w:rsidRPr="00FD6BD4">
              <w:rPr>
                <w:rFonts w:ascii="Times New Roman" w:eastAsia="Times New Roman" w:hAnsi="Times New Roman" w:cs="Times New Roman"/>
                <w:lang w:eastAsia="pl-PL"/>
              </w:rPr>
              <w:t xml:space="preserve">(przy art. 3 ust. 1 pkt 11) </w:t>
            </w:r>
            <w:r w:rsidR="005B2AB7" w:rsidRPr="00FD6BD4">
              <w:rPr>
                <w:rFonts w:ascii="Times New Roman" w:eastAsia="Times New Roman" w:hAnsi="Times New Roman" w:cs="Times New Roman"/>
                <w:lang w:eastAsia="pl-PL"/>
              </w:rPr>
              <w:t xml:space="preserve">i </w:t>
            </w:r>
            <w:r w:rsidR="00C208B7" w:rsidRPr="00FD6BD4">
              <w:rPr>
                <w:rFonts w:ascii="Times New Roman" w:eastAsia="Times New Roman" w:hAnsi="Times New Roman" w:cs="Times New Roman"/>
                <w:lang w:eastAsia="pl-PL"/>
              </w:rPr>
              <w:t>OSR</w:t>
            </w:r>
            <w:r>
              <w:rPr>
                <w:rFonts w:ascii="Times New Roman" w:eastAsia="Times New Roman" w:hAnsi="Times New Roman" w:cs="Times New Roman"/>
                <w:lang w:eastAsia="pl-PL"/>
              </w:rPr>
              <w:t xml:space="preserve"> z uwagi na brak bezpośredniego uwzględnienia </w:t>
            </w:r>
            <w:proofErr w:type="spellStart"/>
            <w:r>
              <w:rPr>
                <w:rFonts w:ascii="Times New Roman" w:eastAsia="Times New Roman" w:hAnsi="Times New Roman" w:cs="Times New Roman"/>
                <w:lang w:eastAsia="pl-PL"/>
              </w:rPr>
              <w:t>kryptowalut</w:t>
            </w:r>
            <w:proofErr w:type="spellEnd"/>
            <w:r>
              <w:rPr>
                <w:rFonts w:ascii="Times New Roman" w:eastAsia="Times New Roman" w:hAnsi="Times New Roman" w:cs="Times New Roman"/>
                <w:lang w:eastAsia="pl-PL"/>
              </w:rPr>
              <w:t xml:space="preserve"> w parametrach technicznych SIS </w:t>
            </w:r>
            <w:proofErr w:type="spellStart"/>
            <w:r>
              <w:rPr>
                <w:rFonts w:ascii="Times New Roman" w:eastAsia="Times New Roman" w:hAnsi="Times New Roman" w:cs="Times New Roman"/>
                <w:lang w:eastAsia="pl-PL"/>
              </w:rPr>
              <w:t>recast</w:t>
            </w:r>
            <w:proofErr w:type="spellEnd"/>
          </w:p>
          <w:p w14:paraId="2E79D444" w14:textId="4FFA5A8A" w:rsidR="00461104" w:rsidRPr="00C2454A" w:rsidRDefault="00461104" w:rsidP="004B36A2">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w związku z zagadnieniem zakresu pojęcia „bezgotówkowych środków płatniczych” rekomendowana konsultacja z Ministerstwem Finansów</w:t>
            </w:r>
          </w:p>
        </w:tc>
      </w:tr>
      <w:tr w:rsidR="00546A06" w:rsidRPr="00546A06" w14:paraId="3BFC2E1F" w14:textId="77777777" w:rsidTr="00010D35">
        <w:tc>
          <w:tcPr>
            <w:tcW w:w="562" w:type="dxa"/>
            <w:shd w:val="clear" w:color="auto" w:fill="auto"/>
            <w:vAlign w:val="center"/>
          </w:tcPr>
          <w:p w14:paraId="3B01F157" w14:textId="77777777" w:rsidR="00546A06" w:rsidRPr="00546A06" w:rsidRDefault="00546A06" w:rsidP="00546A06">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tcPr>
          <w:p w14:paraId="5086DA0B" w14:textId="77777777" w:rsidR="00546A06" w:rsidRDefault="00546A06" w:rsidP="00546A06">
            <w:pPr>
              <w:spacing w:after="0" w:line="276" w:lineRule="auto"/>
              <w:jc w:val="center"/>
              <w:rPr>
                <w:rFonts w:ascii="Times New Roman" w:hAnsi="Times New Roman" w:cs="Times New Roman"/>
              </w:rPr>
            </w:pPr>
          </w:p>
          <w:p w14:paraId="6067B26F" w14:textId="77777777" w:rsidR="00546A06" w:rsidRDefault="00546A06" w:rsidP="00546A06">
            <w:pPr>
              <w:spacing w:after="0" w:line="276" w:lineRule="auto"/>
              <w:jc w:val="center"/>
              <w:rPr>
                <w:rFonts w:ascii="Times New Roman" w:hAnsi="Times New Roman" w:cs="Times New Roman"/>
              </w:rPr>
            </w:pPr>
          </w:p>
          <w:p w14:paraId="54946761" w14:textId="101F24A8" w:rsidR="00546A06" w:rsidRPr="00546A06" w:rsidRDefault="00546A06" w:rsidP="00546A06">
            <w:pPr>
              <w:spacing w:after="0" w:line="276" w:lineRule="auto"/>
              <w:jc w:val="center"/>
              <w:rPr>
                <w:rFonts w:ascii="Times New Roman" w:eastAsia="Times New Roman" w:hAnsi="Times New Roman" w:cs="Times New Roman"/>
                <w:lang w:eastAsia="pl-PL"/>
              </w:rPr>
            </w:pPr>
            <w:r w:rsidRPr="00546A06">
              <w:rPr>
                <w:rFonts w:ascii="Times New Roman" w:hAnsi="Times New Roman" w:cs="Times New Roman"/>
              </w:rPr>
              <w:t>MS</w:t>
            </w:r>
          </w:p>
        </w:tc>
        <w:tc>
          <w:tcPr>
            <w:tcW w:w="1394" w:type="dxa"/>
            <w:shd w:val="clear" w:color="auto" w:fill="auto"/>
          </w:tcPr>
          <w:p w14:paraId="78A4420D" w14:textId="77777777" w:rsidR="00546A06" w:rsidRDefault="00546A06" w:rsidP="00546A06">
            <w:pPr>
              <w:spacing w:after="0" w:line="276" w:lineRule="auto"/>
              <w:jc w:val="both"/>
              <w:rPr>
                <w:rFonts w:ascii="Times New Roman" w:hAnsi="Times New Roman" w:cs="Times New Roman"/>
              </w:rPr>
            </w:pPr>
          </w:p>
          <w:p w14:paraId="5C4EC6BC" w14:textId="15CDFDA7" w:rsidR="00546A06" w:rsidRPr="00546A06" w:rsidRDefault="00546A06" w:rsidP="00546A06">
            <w:pPr>
              <w:spacing w:after="0" w:line="276" w:lineRule="auto"/>
              <w:jc w:val="both"/>
              <w:rPr>
                <w:rFonts w:ascii="Times New Roman" w:eastAsia="Times New Roman" w:hAnsi="Times New Roman" w:cs="Times New Roman"/>
                <w:lang w:eastAsia="pl-PL"/>
              </w:rPr>
            </w:pPr>
            <w:r w:rsidRPr="00546A06">
              <w:rPr>
                <w:rFonts w:ascii="Times New Roman" w:hAnsi="Times New Roman" w:cs="Times New Roman"/>
              </w:rPr>
              <w:t>art. 3 ust. 1 pkt 12 lit. r.</w:t>
            </w:r>
          </w:p>
        </w:tc>
        <w:tc>
          <w:tcPr>
            <w:tcW w:w="6897" w:type="dxa"/>
            <w:shd w:val="clear" w:color="auto" w:fill="auto"/>
          </w:tcPr>
          <w:p w14:paraId="552AF39C" w14:textId="1A88A120" w:rsidR="00546A06" w:rsidRPr="00546A06" w:rsidRDefault="00546A06" w:rsidP="00546A06">
            <w:pPr>
              <w:spacing w:after="0" w:line="276" w:lineRule="auto"/>
              <w:jc w:val="both"/>
              <w:rPr>
                <w:rFonts w:ascii="Times New Roman" w:eastAsia="Times New Roman" w:hAnsi="Times New Roman" w:cs="Times New Roman"/>
                <w:lang w:eastAsia="pl-PL"/>
              </w:rPr>
            </w:pPr>
            <w:r w:rsidRPr="00546A06">
              <w:rPr>
                <w:rFonts w:ascii="Times New Roman" w:hAnsi="Times New Roman" w:cs="Times New Roman"/>
              </w:rPr>
              <w:t xml:space="preserve">rozważenia trafności użycia w polskiej wersji </w:t>
            </w:r>
            <w:proofErr w:type="spellStart"/>
            <w:r w:rsidRPr="00546A06">
              <w:rPr>
                <w:rFonts w:ascii="Times New Roman" w:hAnsi="Times New Roman" w:cs="Times New Roman"/>
              </w:rPr>
              <w:t>rozp</w:t>
            </w:r>
            <w:proofErr w:type="spellEnd"/>
            <w:r w:rsidRPr="00546A06">
              <w:rPr>
                <w:rFonts w:ascii="Times New Roman" w:hAnsi="Times New Roman" w:cs="Times New Roman"/>
              </w:rPr>
              <w:t>. 2018/1862 terminu „przedmiot” (art. 3 ust. 1 pkt 12 lit. r.) zamiast „dobro”</w:t>
            </w:r>
          </w:p>
        </w:tc>
        <w:tc>
          <w:tcPr>
            <w:tcW w:w="5128" w:type="dxa"/>
            <w:shd w:val="clear" w:color="auto" w:fill="auto"/>
          </w:tcPr>
          <w:p w14:paraId="201A3317" w14:textId="02B4B5B9" w:rsidR="00A51536" w:rsidRPr="00546A06" w:rsidRDefault="00984D81" w:rsidP="00A51536">
            <w:pPr>
              <w:spacing w:after="0" w:line="276" w:lineRule="auto"/>
              <w:jc w:val="both"/>
              <w:rPr>
                <w:rFonts w:ascii="Times New Roman" w:hAnsi="Times New Roman" w:cs="Times New Roman"/>
              </w:rPr>
            </w:pPr>
            <w:r>
              <w:rPr>
                <w:rFonts w:ascii="Times New Roman" w:hAnsi="Times New Roman" w:cs="Times New Roman"/>
              </w:rPr>
              <w:t>u</w:t>
            </w:r>
            <w:r w:rsidR="00A51536">
              <w:rPr>
                <w:rFonts w:ascii="Times New Roman" w:hAnsi="Times New Roman" w:cs="Times New Roman"/>
              </w:rPr>
              <w:t xml:space="preserve">zgodniono </w:t>
            </w:r>
            <w:r w:rsidR="004A3233">
              <w:rPr>
                <w:rFonts w:ascii="Times New Roman" w:hAnsi="Times New Roman" w:cs="Times New Roman"/>
              </w:rPr>
              <w:t xml:space="preserve">– w tym zakresie uzgodniono też </w:t>
            </w:r>
            <w:r w:rsidR="00A51536">
              <w:rPr>
                <w:rFonts w:ascii="Times New Roman" w:hAnsi="Times New Roman" w:cs="Times New Roman"/>
              </w:rPr>
              <w:t>potrzebę wystąpienia o korektę językową rozporządzenia zgodnie z treścią uwagi</w:t>
            </w:r>
          </w:p>
          <w:p w14:paraId="0B6E7C93" w14:textId="77777777" w:rsidR="00546A06" w:rsidRDefault="00546A06" w:rsidP="00546A06">
            <w:pPr>
              <w:spacing w:after="0" w:line="276" w:lineRule="auto"/>
              <w:jc w:val="both"/>
              <w:rPr>
                <w:rFonts w:ascii="Times New Roman" w:hAnsi="Times New Roman" w:cs="Times New Roman"/>
              </w:rPr>
            </w:pPr>
            <w:r w:rsidRPr="00546A06">
              <w:rPr>
                <w:rFonts w:ascii="Times New Roman" w:hAnsi="Times New Roman" w:cs="Times New Roman"/>
              </w:rPr>
              <w:t>- terminem „przedmiot” objęte zostały jednolicie wszystkie kategorie objęte regulacją pkt 12 ust. 1 art. 3 ustawy</w:t>
            </w:r>
          </w:p>
          <w:p w14:paraId="6BD0954A" w14:textId="51F86747" w:rsidR="00546A06" w:rsidRPr="00546A06" w:rsidRDefault="00546A06" w:rsidP="00A51536">
            <w:pPr>
              <w:spacing w:after="0" w:line="276" w:lineRule="auto"/>
              <w:jc w:val="both"/>
              <w:rPr>
                <w:rFonts w:ascii="Times New Roman" w:eastAsia="Times New Roman" w:hAnsi="Times New Roman" w:cs="Times New Roman"/>
                <w:lang w:eastAsia="pl-PL"/>
              </w:rPr>
            </w:pPr>
          </w:p>
        </w:tc>
      </w:tr>
      <w:tr w:rsidR="00F3292B" w:rsidRPr="00C2454A" w14:paraId="342BC6CA" w14:textId="77777777" w:rsidTr="008C766B">
        <w:tc>
          <w:tcPr>
            <w:tcW w:w="562" w:type="dxa"/>
            <w:shd w:val="clear" w:color="auto" w:fill="FFFFFF" w:themeFill="background1"/>
            <w:vAlign w:val="center"/>
          </w:tcPr>
          <w:p w14:paraId="0E2DAF78" w14:textId="1C148C10" w:rsidR="00F3292B" w:rsidRPr="00C2454A"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09B152B5" w14:textId="7F9449D7"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FFFFFF" w:themeFill="background1"/>
            <w:vAlign w:val="center"/>
          </w:tcPr>
          <w:p w14:paraId="581B1A18" w14:textId="3C9E8872"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dot. całości projektu, m.in.  </w:t>
            </w:r>
          </w:p>
          <w:p w14:paraId="72BEA17F" w14:textId="169B1FAE"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i 4</w:t>
            </w:r>
          </w:p>
        </w:tc>
        <w:tc>
          <w:tcPr>
            <w:tcW w:w="6897" w:type="dxa"/>
            <w:shd w:val="clear" w:color="auto" w:fill="FFFFFF" w:themeFill="background1"/>
          </w:tcPr>
          <w:p w14:paraId="16468ABD" w14:textId="46D5BB96" w:rsidR="00F3292B" w:rsidRPr="00C2454A" w:rsidRDefault="00F3292B" w:rsidP="00F3292B">
            <w:pPr>
              <w:spacing w:after="0" w:line="276" w:lineRule="auto"/>
              <w:jc w:val="both"/>
              <w:rPr>
                <w:rFonts w:ascii="Times New Roman" w:eastAsia="Times New Roman" w:hAnsi="Times New Roman" w:cs="Times New Roman"/>
                <w:b/>
                <w:lang w:eastAsia="pl-PL"/>
              </w:rPr>
            </w:pPr>
            <w:r w:rsidRPr="00C2454A">
              <w:rPr>
                <w:rFonts w:ascii="Times New Roman" w:eastAsia="Times New Roman" w:hAnsi="Times New Roman" w:cs="Times New Roman"/>
                <w:lang w:eastAsia="pl-PL"/>
              </w:rPr>
              <w:t>organem jest nie wskazana w projekcie „prokuratura”, lecz „prokurator”</w:t>
            </w:r>
          </w:p>
        </w:tc>
        <w:tc>
          <w:tcPr>
            <w:tcW w:w="5128" w:type="dxa"/>
            <w:shd w:val="clear" w:color="auto" w:fill="FFFFFF" w:themeFill="background1"/>
          </w:tcPr>
          <w:p w14:paraId="765F6373" w14:textId="447716BB" w:rsidR="00F830DE" w:rsidRDefault="00F830DE"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397B9D67" w14:textId="39B80D53" w:rsidR="00EB704C" w:rsidRDefault="00A24B97"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1400FA">
              <w:rPr>
                <w:rFonts w:ascii="Times New Roman" w:eastAsia="Times New Roman" w:hAnsi="Times New Roman" w:cs="Times New Roman"/>
                <w:lang w:eastAsia="pl-PL"/>
              </w:rPr>
              <w:t>u</w:t>
            </w:r>
            <w:r w:rsidR="005B79B3">
              <w:rPr>
                <w:rFonts w:ascii="Times New Roman" w:eastAsia="Times New Roman" w:hAnsi="Times New Roman" w:cs="Times New Roman"/>
                <w:lang w:eastAsia="pl-PL"/>
              </w:rPr>
              <w:t>względniono</w:t>
            </w:r>
            <w:r w:rsidR="00F830DE">
              <w:rPr>
                <w:rFonts w:ascii="Times New Roman" w:eastAsia="Times New Roman" w:hAnsi="Times New Roman" w:cs="Times New Roman"/>
                <w:lang w:eastAsia="pl-PL"/>
              </w:rPr>
              <w:t xml:space="preserve"> </w:t>
            </w:r>
            <w:r w:rsidR="00EB704C">
              <w:rPr>
                <w:rFonts w:ascii="Times New Roman" w:eastAsia="Times New Roman" w:hAnsi="Times New Roman" w:cs="Times New Roman"/>
                <w:lang w:eastAsia="pl-PL"/>
              </w:rPr>
              <w:t>- poprzez zmianę nazwy</w:t>
            </w:r>
            <w:r w:rsidR="001400FA">
              <w:rPr>
                <w:rFonts w:ascii="Times New Roman" w:eastAsia="Times New Roman" w:hAnsi="Times New Roman" w:cs="Times New Roman"/>
                <w:lang w:eastAsia="pl-PL"/>
              </w:rPr>
              <w:t xml:space="preserve"> w </w:t>
            </w:r>
            <w:r w:rsidR="00EB704C">
              <w:rPr>
                <w:rFonts w:ascii="Times New Roman" w:eastAsia="Times New Roman" w:hAnsi="Times New Roman" w:cs="Times New Roman"/>
                <w:lang w:eastAsia="pl-PL"/>
              </w:rPr>
              <w:t xml:space="preserve">całym </w:t>
            </w:r>
            <w:r w:rsidR="001400FA">
              <w:rPr>
                <w:rFonts w:ascii="Times New Roman" w:eastAsia="Times New Roman" w:hAnsi="Times New Roman" w:cs="Times New Roman"/>
                <w:lang w:eastAsia="pl-PL"/>
              </w:rPr>
              <w:t>projekcie + korektę uzasadnienia projektu i OSR</w:t>
            </w:r>
            <w:r w:rsidR="00B431E9">
              <w:rPr>
                <w:rFonts w:ascii="Times New Roman" w:eastAsia="Times New Roman" w:hAnsi="Times New Roman" w:cs="Times New Roman"/>
                <w:lang w:eastAsia="pl-PL"/>
              </w:rPr>
              <w:t xml:space="preserve"> oraz</w:t>
            </w:r>
            <w:r w:rsidR="00AD6569">
              <w:rPr>
                <w:rFonts w:ascii="Times New Roman" w:eastAsia="Times New Roman" w:hAnsi="Times New Roman" w:cs="Times New Roman"/>
                <w:lang w:eastAsia="pl-PL"/>
              </w:rPr>
              <w:t xml:space="preserve"> dodanie </w:t>
            </w:r>
            <w:r w:rsidR="008C766B">
              <w:rPr>
                <w:rFonts w:ascii="Times New Roman" w:eastAsia="Times New Roman" w:hAnsi="Times New Roman" w:cs="Times New Roman"/>
                <w:lang w:eastAsia="pl-PL"/>
              </w:rPr>
              <w:t xml:space="preserve">do projektu </w:t>
            </w:r>
            <w:r w:rsidR="00AD6569">
              <w:rPr>
                <w:rFonts w:ascii="Times New Roman" w:eastAsia="Times New Roman" w:hAnsi="Times New Roman" w:cs="Times New Roman"/>
                <w:lang w:eastAsia="pl-PL"/>
              </w:rPr>
              <w:t xml:space="preserve">pkt 6 </w:t>
            </w:r>
            <w:r w:rsidR="00B431E9">
              <w:rPr>
                <w:rFonts w:ascii="Times New Roman" w:eastAsia="Times New Roman" w:hAnsi="Times New Roman" w:cs="Times New Roman"/>
                <w:lang w:eastAsia="pl-PL"/>
              </w:rPr>
              <w:t xml:space="preserve">w art. 1 </w:t>
            </w:r>
            <w:r w:rsidR="008C766B">
              <w:rPr>
                <w:rFonts w:ascii="Times New Roman" w:eastAsia="Times New Roman" w:hAnsi="Times New Roman" w:cs="Times New Roman"/>
                <w:lang w:eastAsia="pl-PL"/>
              </w:rPr>
              <w:t>(</w:t>
            </w:r>
            <w:r w:rsidR="00AD6569">
              <w:rPr>
                <w:rFonts w:ascii="Times New Roman" w:eastAsia="Times New Roman" w:hAnsi="Times New Roman" w:cs="Times New Roman"/>
                <w:lang w:eastAsia="pl-PL"/>
              </w:rPr>
              <w:t>z następczą zmianą numeracji zmian w projekcie</w:t>
            </w:r>
            <w:r w:rsidR="008C766B">
              <w:rPr>
                <w:rFonts w:ascii="Times New Roman" w:eastAsia="Times New Roman" w:hAnsi="Times New Roman" w:cs="Times New Roman"/>
                <w:lang w:eastAsia="pl-PL"/>
              </w:rPr>
              <w:t>), który ujednolica nazewnictwo organu w całej ustawie</w:t>
            </w:r>
            <w:r w:rsidR="00F830DE">
              <w:rPr>
                <w:rFonts w:ascii="Times New Roman" w:eastAsia="Times New Roman" w:hAnsi="Times New Roman" w:cs="Times New Roman"/>
                <w:lang w:eastAsia="pl-PL"/>
              </w:rPr>
              <w:t xml:space="preserve">; </w:t>
            </w:r>
            <w:r w:rsidR="00EB704C">
              <w:rPr>
                <w:rFonts w:ascii="Times New Roman" w:eastAsia="Times New Roman" w:hAnsi="Times New Roman" w:cs="Times New Roman"/>
                <w:lang w:eastAsia="pl-PL"/>
              </w:rPr>
              <w:t xml:space="preserve">dokonano korekty </w:t>
            </w:r>
            <w:r w:rsidR="00EB704C">
              <w:rPr>
                <w:rFonts w:ascii="Times New Roman" w:eastAsia="Times New Roman" w:hAnsi="Times New Roman" w:cs="Times New Roman"/>
                <w:lang w:eastAsia="pl-PL"/>
              </w:rPr>
              <w:lastRenderedPageBreak/>
              <w:t>w zakresie motywu przy uzasadnieniu do art. 3 ust. 1 pkt 2</w:t>
            </w:r>
          </w:p>
          <w:p w14:paraId="165E212F" w14:textId="7DEC042A" w:rsidR="00A977B1" w:rsidRPr="00C2454A" w:rsidRDefault="00A977B1" w:rsidP="008C766B">
            <w:pPr>
              <w:autoSpaceDE w:val="0"/>
              <w:autoSpaceDN w:val="0"/>
              <w:adjustRightInd w:val="0"/>
              <w:spacing w:after="0" w:line="240" w:lineRule="auto"/>
              <w:rPr>
                <w:rFonts w:ascii="Times New Roman" w:hAnsi="Times New Roman" w:cs="Times New Roman"/>
              </w:rPr>
            </w:pPr>
          </w:p>
        </w:tc>
      </w:tr>
      <w:tr w:rsidR="00F3292B" w:rsidRPr="00C2454A" w14:paraId="2BF10558" w14:textId="77777777" w:rsidTr="00AD6149">
        <w:tc>
          <w:tcPr>
            <w:tcW w:w="562" w:type="dxa"/>
            <w:shd w:val="clear" w:color="auto" w:fill="auto"/>
            <w:vAlign w:val="center"/>
          </w:tcPr>
          <w:p w14:paraId="6C007261" w14:textId="6C075EFA" w:rsidR="00F3292B" w:rsidRPr="00C2454A"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6830EBF2" w14:textId="76E1ADDF"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229E7D6F" w14:textId="77777777"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3 </w:t>
            </w:r>
          </w:p>
          <w:p w14:paraId="37D894BB" w14:textId="353ED355"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3 pkt 4</w:t>
            </w:r>
          </w:p>
        </w:tc>
        <w:tc>
          <w:tcPr>
            <w:tcW w:w="6897" w:type="dxa"/>
            <w:shd w:val="clear" w:color="auto" w:fill="auto"/>
          </w:tcPr>
          <w:p w14:paraId="2C0B2B36" w14:textId="4C79888D" w:rsidR="00F3292B" w:rsidRPr="00AD6149" w:rsidRDefault="00F3292B" w:rsidP="00F3292B">
            <w:pPr>
              <w:spacing w:after="0" w:line="276" w:lineRule="auto"/>
              <w:jc w:val="both"/>
              <w:rPr>
                <w:rFonts w:ascii="Times New Roman" w:eastAsia="Times New Roman" w:hAnsi="Times New Roman" w:cs="Times New Roman"/>
                <w:lang w:eastAsia="pl-PL"/>
              </w:rPr>
            </w:pPr>
            <w:r w:rsidRPr="00AD6149">
              <w:rPr>
                <w:rFonts w:ascii="Times New Roman" w:eastAsia="Times New Roman" w:hAnsi="Times New Roman" w:cs="Times New Roman"/>
                <w:lang w:eastAsia="pl-PL"/>
              </w:rPr>
              <w:t xml:space="preserve">1/ </w:t>
            </w:r>
            <w:r w:rsidRPr="00093F46">
              <w:rPr>
                <w:rFonts w:ascii="Times New Roman" w:eastAsia="Times New Roman" w:hAnsi="Times New Roman" w:cs="Times New Roman"/>
                <w:lang w:eastAsia="pl-PL"/>
              </w:rPr>
              <w:t>należy w przepisach niższego rzędu zapewnić</w:t>
            </w:r>
            <w:r w:rsidRPr="00AD6149">
              <w:rPr>
                <w:rFonts w:ascii="Times New Roman" w:eastAsia="Times New Roman" w:hAnsi="Times New Roman" w:cs="Times New Roman"/>
                <w:lang w:eastAsia="pl-PL"/>
              </w:rPr>
              <w:t xml:space="preserve"> usuwanie polskich wpisów ENA (</w:t>
            </w:r>
            <w:proofErr w:type="spellStart"/>
            <w:r w:rsidRPr="00AD6149">
              <w:rPr>
                <w:rFonts w:ascii="Times New Roman" w:eastAsia="Times New Roman" w:hAnsi="Times New Roman" w:cs="Times New Roman"/>
                <w:lang w:eastAsia="pl-PL"/>
              </w:rPr>
              <w:t>European</w:t>
            </w:r>
            <w:proofErr w:type="spellEnd"/>
            <w:r w:rsidRPr="00AD6149">
              <w:rPr>
                <w:rFonts w:ascii="Times New Roman" w:eastAsia="Times New Roman" w:hAnsi="Times New Roman" w:cs="Times New Roman"/>
                <w:lang w:eastAsia="pl-PL"/>
              </w:rPr>
              <w:t xml:space="preserve"> </w:t>
            </w:r>
            <w:proofErr w:type="spellStart"/>
            <w:r w:rsidRPr="00AD6149">
              <w:rPr>
                <w:rFonts w:ascii="Times New Roman" w:eastAsia="Times New Roman" w:hAnsi="Times New Roman" w:cs="Times New Roman"/>
                <w:lang w:eastAsia="pl-PL"/>
              </w:rPr>
              <w:t>Arrest</w:t>
            </w:r>
            <w:proofErr w:type="spellEnd"/>
            <w:r w:rsidRPr="00AD6149">
              <w:rPr>
                <w:rFonts w:ascii="Times New Roman" w:eastAsia="Times New Roman" w:hAnsi="Times New Roman" w:cs="Times New Roman"/>
                <w:lang w:eastAsia="pl-PL"/>
              </w:rPr>
              <w:t xml:space="preserve"> Warrant) przez Policję po wydaniu Polsce osoby poszukiwanej – wobec obecnej nieuzasadnionej praktyki żądania przez Policję usunięcia takiego wpisu z SIS przez sąd;</w:t>
            </w:r>
          </w:p>
          <w:p w14:paraId="0ACEA068" w14:textId="6066978F" w:rsidR="00F3292B" w:rsidRPr="00C2454A" w:rsidRDefault="00F3292B" w:rsidP="00F3292B">
            <w:pPr>
              <w:spacing w:after="0" w:line="276" w:lineRule="auto"/>
              <w:jc w:val="both"/>
              <w:rPr>
                <w:rFonts w:ascii="Times New Roman" w:eastAsia="Times New Roman" w:hAnsi="Times New Roman" w:cs="Times New Roman"/>
                <w:lang w:eastAsia="pl-PL"/>
              </w:rPr>
            </w:pPr>
            <w:r w:rsidRPr="00AD6149">
              <w:rPr>
                <w:rFonts w:ascii="Times New Roman" w:eastAsia="Times New Roman" w:hAnsi="Times New Roman" w:cs="Times New Roman"/>
                <w:lang w:eastAsia="pl-PL"/>
              </w:rPr>
              <w:t xml:space="preserve">2/ usunięcie ww. wpisu, zgodnie z art. 55 ust. 1 </w:t>
            </w:r>
            <w:proofErr w:type="spellStart"/>
            <w:r w:rsidRPr="00AD6149">
              <w:rPr>
                <w:rFonts w:ascii="Times New Roman" w:eastAsia="Times New Roman" w:hAnsi="Times New Roman" w:cs="Times New Roman"/>
                <w:lang w:eastAsia="pl-PL"/>
              </w:rPr>
              <w:t>rozp</w:t>
            </w:r>
            <w:proofErr w:type="spellEnd"/>
            <w:r w:rsidRPr="00AD6149">
              <w:rPr>
                <w:rFonts w:ascii="Times New Roman" w:eastAsia="Times New Roman" w:hAnsi="Times New Roman" w:cs="Times New Roman"/>
                <w:lang w:eastAsia="pl-PL"/>
              </w:rPr>
              <w:t>. 2018/1862, powinno następować niezwłocznie po przekazaniu osoby pod opiekę konwoju, a najpóźniej w momencie powiadomienia prokuratora lub sądu o oddaniu</w:t>
            </w:r>
            <w:r w:rsidR="00FC2A96" w:rsidRPr="00AD6149">
              <w:rPr>
                <w:rFonts w:ascii="Times New Roman" w:eastAsia="Times New Roman" w:hAnsi="Times New Roman" w:cs="Times New Roman"/>
                <w:lang w:eastAsia="pl-PL"/>
              </w:rPr>
              <w:t xml:space="preserve"> takiej osoby do ich dyspozycji</w:t>
            </w:r>
          </w:p>
        </w:tc>
        <w:tc>
          <w:tcPr>
            <w:tcW w:w="5128" w:type="dxa"/>
            <w:shd w:val="clear" w:color="auto" w:fill="auto"/>
          </w:tcPr>
          <w:p w14:paraId="2C6BF3CD" w14:textId="0312988A" w:rsidR="0010180C" w:rsidRPr="0010180C" w:rsidRDefault="0010180C" w:rsidP="0010180C">
            <w:pPr>
              <w:spacing w:after="0" w:line="276" w:lineRule="auto"/>
              <w:jc w:val="both"/>
              <w:rPr>
                <w:rFonts w:ascii="Times New Roman" w:eastAsia="Times New Roman" w:hAnsi="Times New Roman" w:cs="Times New Roman"/>
                <w:lang w:eastAsia="pl-PL"/>
              </w:rPr>
            </w:pPr>
            <w:r w:rsidRPr="00214A6F">
              <w:rPr>
                <w:rFonts w:ascii="Times New Roman" w:hAnsi="Times New Roman" w:cs="Times New Roman"/>
                <w:b/>
              </w:rPr>
              <w:t>Pozycja ujęta w protokole rozbieżności z uwagi na brak uzgodnienia pod</w:t>
            </w:r>
            <w:r>
              <w:rPr>
                <w:rFonts w:ascii="Times New Roman" w:hAnsi="Times New Roman" w:cs="Times New Roman"/>
                <w:b/>
              </w:rPr>
              <w:t xml:space="preserve">czas konferencji uzgodnieniowej </w:t>
            </w:r>
            <w:r w:rsidRPr="0010180C">
              <w:rPr>
                <w:rFonts w:ascii="Times New Roman" w:hAnsi="Times New Roman" w:cs="Times New Roman"/>
              </w:rPr>
              <w:t>– sprzeczne stanowiska zainteresowanych organów</w:t>
            </w:r>
            <w:r w:rsidR="009672C0">
              <w:rPr>
                <w:rFonts w:ascii="Times New Roman" w:hAnsi="Times New Roman" w:cs="Times New Roman"/>
              </w:rPr>
              <w:t>; uzgodniono ewentualną konieczność zmian w projekcie na późniejszym etapie prac</w:t>
            </w:r>
            <w:r w:rsidR="0048523A">
              <w:rPr>
                <w:rFonts w:ascii="Times New Roman" w:hAnsi="Times New Roman" w:cs="Times New Roman"/>
              </w:rPr>
              <w:t xml:space="preserve"> (ustawowa regulacja uprawnień poszczególnych organów)</w:t>
            </w:r>
            <w:r w:rsidR="009672C0">
              <w:rPr>
                <w:rFonts w:ascii="Times New Roman" w:hAnsi="Times New Roman" w:cs="Times New Roman"/>
              </w:rPr>
              <w:t>.</w:t>
            </w:r>
          </w:p>
          <w:p w14:paraId="7C8C4625" w14:textId="77777777" w:rsidR="0010180C" w:rsidRDefault="0010180C" w:rsidP="00F3292B">
            <w:pPr>
              <w:spacing w:after="0" w:line="276" w:lineRule="auto"/>
              <w:jc w:val="both"/>
              <w:rPr>
                <w:rFonts w:ascii="Times New Roman" w:eastAsia="Times New Roman" w:hAnsi="Times New Roman" w:cs="Times New Roman"/>
                <w:lang w:eastAsia="pl-PL"/>
              </w:rPr>
            </w:pPr>
          </w:p>
          <w:p w14:paraId="0D55B442" w14:textId="234D464B" w:rsidR="00F3292B" w:rsidRPr="00C2454A" w:rsidRDefault="00F3292B" w:rsidP="00AD6149">
            <w:pPr>
              <w:spacing w:after="0" w:line="276" w:lineRule="auto"/>
              <w:jc w:val="both"/>
              <w:rPr>
                <w:rFonts w:ascii="Times New Roman" w:eastAsia="Times New Roman" w:hAnsi="Times New Roman" w:cs="Times New Roman"/>
                <w:lang w:eastAsia="pl-PL"/>
              </w:rPr>
            </w:pPr>
          </w:p>
        </w:tc>
      </w:tr>
      <w:tr w:rsidR="00F3292B" w:rsidRPr="00C2454A" w14:paraId="0E8AE8CF" w14:textId="77777777" w:rsidTr="00B546F6">
        <w:tc>
          <w:tcPr>
            <w:tcW w:w="562" w:type="dxa"/>
            <w:shd w:val="clear" w:color="auto" w:fill="FFFFFF" w:themeFill="background1"/>
            <w:vAlign w:val="center"/>
          </w:tcPr>
          <w:p w14:paraId="3DF11D58" w14:textId="36B62270" w:rsidR="00F3292B" w:rsidRPr="00424221" w:rsidRDefault="00F3292B" w:rsidP="00F3292B">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65FF8911" w14:textId="4A3B8879" w:rsidR="00F3292B" w:rsidRPr="00C2454A" w:rsidRDefault="00F3292B" w:rsidP="00F3292B">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FFFFFF" w:themeFill="background1"/>
            <w:vAlign w:val="center"/>
          </w:tcPr>
          <w:p w14:paraId="173A31B0" w14:textId="47240382" w:rsidR="00F3292B" w:rsidRPr="00C2454A" w:rsidRDefault="00F3292B" w:rsidP="00F3292B">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ust. 5</w:t>
            </w:r>
          </w:p>
        </w:tc>
        <w:tc>
          <w:tcPr>
            <w:tcW w:w="6897" w:type="dxa"/>
            <w:shd w:val="clear" w:color="auto" w:fill="FFFFFF" w:themeFill="background1"/>
          </w:tcPr>
          <w:p w14:paraId="4BA764A6" w14:textId="159BD5CA" w:rsidR="00F3292B" w:rsidRPr="00424221" w:rsidRDefault="00F3292B" w:rsidP="00F3292B">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1/ ocena pozytywna</w:t>
            </w:r>
            <w:r w:rsidR="00120130" w:rsidRPr="00424221">
              <w:rPr>
                <w:rFonts w:ascii="Times New Roman" w:eastAsia="Times New Roman" w:hAnsi="Times New Roman" w:cs="Times New Roman"/>
                <w:lang w:eastAsia="pl-PL"/>
              </w:rPr>
              <w:t xml:space="preserve"> treści</w:t>
            </w:r>
            <w:r w:rsidRPr="00424221">
              <w:rPr>
                <w:rFonts w:ascii="Times New Roman" w:eastAsia="Times New Roman" w:hAnsi="Times New Roman" w:cs="Times New Roman"/>
                <w:lang w:eastAsia="pl-PL"/>
              </w:rPr>
              <w:t>;</w:t>
            </w:r>
          </w:p>
          <w:p w14:paraId="7EE70132" w14:textId="3CF9E24E" w:rsidR="00F3292B" w:rsidRPr="00424221" w:rsidRDefault="00F3292B" w:rsidP="00F3292B">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2/ wątpliwości w zakresie włączenia wyrażenia „i kopii dokumentów identyfikacyjnych”: a/ ten rodzaj danych i informacji mieści się w „pozyskiwaniu ich z istniejących rejestrów i systemów krajowych”, b/ wydaje się, że „dokument identyfikacyjny” jest pojęciem potocznym,</w:t>
            </w:r>
          </w:p>
          <w:p w14:paraId="6AC8E5D2" w14:textId="4C87F850" w:rsidR="00F3292B" w:rsidRPr="00424221" w:rsidRDefault="00F3292B" w:rsidP="00F3292B">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 xml:space="preserve">obejmującym wszystkie dokumenty, nie tylko urzędowe, pozwalające na ustalenie tożsamości osoby (np. imienne bilety komunikacyjne, różnego rodzaju legitymacje zawodowe, imienne karty lojalnościowe, imienne karty bankowe, itd.) - liczba rejestrów prywatnych i publicznych, które mogą </w:t>
            </w:r>
            <w:r w:rsidR="00120130" w:rsidRPr="00424221">
              <w:rPr>
                <w:rFonts w:ascii="Times New Roman" w:eastAsia="Times New Roman" w:hAnsi="Times New Roman" w:cs="Times New Roman"/>
                <w:lang w:eastAsia="pl-PL"/>
              </w:rPr>
              <w:t xml:space="preserve">je </w:t>
            </w:r>
            <w:r w:rsidRPr="00424221">
              <w:rPr>
                <w:rFonts w:ascii="Times New Roman" w:eastAsia="Times New Roman" w:hAnsi="Times New Roman" w:cs="Times New Roman"/>
                <w:lang w:eastAsia="pl-PL"/>
              </w:rPr>
              <w:t>zawierać jest trudna do ustalenia;</w:t>
            </w:r>
          </w:p>
          <w:p w14:paraId="40E808A9" w14:textId="174DF63F" w:rsidR="00F3292B" w:rsidRPr="00424221" w:rsidRDefault="00F3292B" w:rsidP="00F3292B">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 jako rozwiązanie najlepsze postulowane pozostawienie organom krajowym pewnej uznaniowości – w granicach wyznaczonych przepisami rozporządzenia, ewentualnie aktu delegowanego Komisji oraz praktyki w zakresie dokumentów wykorzystywanych na terytorium pa</w:t>
            </w:r>
            <w:r w:rsidR="00120130" w:rsidRPr="00424221">
              <w:rPr>
                <w:rFonts w:ascii="Times New Roman" w:eastAsia="Times New Roman" w:hAnsi="Times New Roman" w:cs="Times New Roman"/>
                <w:lang w:eastAsia="pl-PL"/>
              </w:rPr>
              <w:t>ństw UE do ustalenia tożsamości;</w:t>
            </w:r>
          </w:p>
          <w:p w14:paraId="2E90DE9E" w14:textId="7E8E41E4" w:rsidR="00120130" w:rsidRPr="00C2454A" w:rsidRDefault="00120130" w:rsidP="00120130">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3/ zasadna jest wzmianka o danych biometrycznych, gdyż jest to szczególna kategoria danych.</w:t>
            </w:r>
          </w:p>
        </w:tc>
        <w:tc>
          <w:tcPr>
            <w:tcW w:w="5128" w:type="dxa"/>
            <w:shd w:val="clear" w:color="auto" w:fill="FFFFFF" w:themeFill="background1"/>
          </w:tcPr>
          <w:p w14:paraId="3303F1D0" w14:textId="1E10108C" w:rsidR="005B79B3" w:rsidRDefault="00ED55F1" w:rsidP="00F3292B">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 kierunkowo</w:t>
            </w:r>
          </w:p>
          <w:p w14:paraId="0ED4ECB3" w14:textId="1D7B06BD" w:rsidR="00F3292B" w:rsidRPr="00424221" w:rsidRDefault="00424221" w:rsidP="00F3292B">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uwaga</w:t>
            </w:r>
            <w:r w:rsidR="005B79B3" w:rsidRPr="00424221">
              <w:rPr>
                <w:rFonts w:ascii="Times New Roman" w:eastAsia="Times New Roman" w:hAnsi="Times New Roman" w:cs="Times New Roman"/>
                <w:lang w:eastAsia="pl-PL"/>
              </w:rPr>
              <w:t xml:space="preserve"> </w:t>
            </w:r>
            <w:r w:rsidRPr="00424221">
              <w:rPr>
                <w:rFonts w:ascii="Times New Roman" w:eastAsia="Times New Roman" w:hAnsi="Times New Roman" w:cs="Times New Roman"/>
                <w:lang w:eastAsia="pl-PL"/>
              </w:rPr>
              <w:t xml:space="preserve">rozpoznana łącznie z uwagą </w:t>
            </w:r>
            <w:r w:rsidR="005B79B3" w:rsidRPr="00424221">
              <w:rPr>
                <w:rFonts w:ascii="Times New Roman" w:eastAsia="Times New Roman" w:hAnsi="Times New Roman" w:cs="Times New Roman"/>
                <w:lang w:eastAsia="pl-PL"/>
              </w:rPr>
              <w:t>PUODO</w:t>
            </w:r>
            <w:r w:rsidR="002C5322" w:rsidRPr="00424221">
              <w:rPr>
                <w:rFonts w:ascii="Times New Roman" w:eastAsia="Times New Roman" w:hAnsi="Times New Roman" w:cs="Times New Roman"/>
                <w:lang w:eastAsia="pl-PL"/>
              </w:rPr>
              <w:t xml:space="preserve"> nr</w:t>
            </w:r>
            <w:r w:rsidR="00D312A3" w:rsidRPr="00424221">
              <w:rPr>
                <w:rFonts w:ascii="Times New Roman" w:eastAsia="Times New Roman" w:hAnsi="Times New Roman" w:cs="Times New Roman"/>
                <w:lang w:eastAsia="pl-PL"/>
              </w:rPr>
              <w:t xml:space="preserve"> </w:t>
            </w:r>
            <w:r w:rsidRPr="00424221">
              <w:rPr>
                <w:rFonts w:ascii="Times New Roman" w:eastAsia="Times New Roman" w:hAnsi="Times New Roman" w:cs="Times New Roman"/>
                <w:lang w:eastAsia="pl-PL"/>
              </w:rPr>
              <w:t>22</w:t>
            </w:r>
            <w:r w:rsidR="00ED55F1">
              <w:rPr>
                <w:rFonts w:ascii="Times New Roman" w:eastAsia="Times New Roman" w:hAnsi="Times New Roman" w:cs="Times New Roman"/>
                <w:lang w:eastAsia="pl-PL"/>
              </w:rPr>
              <w:t xml:space="preserve"> – </w:t>
            </w:r>
            <w:r w:rsidR="0055463F">
              <w:rPr>
                <w:rFonts w:ascii="Times New Roman" w:eastAsia="Times New Roman" w:hAnsi="Times New Roman" w:cs="Times New Roman"/>
                <w:lang w:eastAsia="pl-PL"/>
              </w:rPr>
              <w:t xml:space="preserve">vide </w:t>
            </w:r>
            <w:r w:rsidR="009F02FB">
              <w:rPr>
                <w:rFonts w:ascii="Times New Roman" w:eastAsia="Times New Roman" w:hAnsi="Times New Roman" w:cs="Times New Roman"/>
                <w:lang w:eastAsia="pl-PL"/>
              </w:rPr>
              <w:t>treść pozycji</w:t>
            </w:r>
            <w:r w:rsidR="0055463F">
              <w:rPr>
                <w:rFonts w:ascii="Times New Roman" w:eastAsia="Times New Roman" w:hAnsi="Times New Roman" w:cs="Times New Roman"/>
                <w:lang w:eastAsia="pl-PL"/>
              </w:rPr>
              <w:t xml:space="preserve"> 22</w:t>
            </w:r>
            <w:r w:rsidR="008B1F40">
              <w:rPr>
                <w:rFonts w:ascii="Times New Roman" w:eastAsia="Times New Roman" w:hAnsi="Times New Roman" w:cs="Times New Roman"/>
                <w:lang w:eastAsia="pl-PL"/>
              </w:rPr>
              <w:t xml:space="preserve"> tabeli</w:t>
            </w:r>
          </w:p>
          <w:p w14:paraId="05BF14BA" w14:textId="66D58495" w:rsidR="00B75DCA" w:rsidRPr="00C2454A" w:rsidRDefault="00B75DCA" w:rsidP="00F3292B">
            <w:pPr>
              <w:spacing w:after="0" w:line="276" w:lineRule="auto"/>
              <w:jc w:val="both"/>
              <w:rPr>
                <w:rFonts w:ascii="Times New Roman" w:eastAsia="Times New Roman" w:hAnsi="Times New Roman" w:cs="Times New Roman"/>
                <w:lang w:eastAsia="pl-PL"/>
              </w:rPr>
            </w:pPr>
          </w:p>
        </w:tc>
      </w:tr>
      <w:tr w:rsidR="00120130" w:rsidRPr="00C2454A" w14:paraId="53C80E7F" w14:textId="77777777" w:rsidTr="00424221">
        <w:tc>
          <w:tcPr>
            <w:tcW w:w="562" w:type="dxa"/>
            <w:shd w:val="clear" w:color="auto" w:fill="FFFFFF" w:themeFill="background1"/>
            <w:vAlign w:val="center"/>
          </w:tcPr>
          <w:p w14:paraId="5462C3C5" w14:textId="20A10FC4" w:rsidR="00120130" w:rsidRPr="00424221"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6BFD45B0" w14:textId="6A8E3EC0"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FFFFFF" w:themeFill="background1"/>
            <w:vAlign w:val="center"/>
          </w:tcPr>
          <w:p w14:paraId="6E676B11" w14:textId="3305FF60"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zmiany następcze</w:t>
            </w:r>
          </w:p>
        </w:tc>
        <w:tc>
          <w:tcPr>
            <w:tcW w:w="6897" w:type="dxa"/>
            <w:shd w:val="clear" w:color="auto" w:fill="FFFFFF" w:themeFill="background1"/>
          </w:tcPr>
          <w:p w14:paraId="3282C3C3" w14:textId="5E285BFA" w:rsidR="00120130" w:rsidRPr="00424221" w:rsidRDefault="00120130" w:rsidP="00120130">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 xml:space="preserve">konieczność rozważenia, czy nie zachodzi potrzeba zmiany przepisu art. 59 ustawy z dnia 6 sierpnia 2010 r. o dowodach osobistych (Dz.U. z 2021 r. </w:t>
            </w:r>
            <w:r w:rsidRPr="00424221">
              <w:rPr>
                <w:rFonts w:ascii="Times New Roman" w:eastAsia="Times New Roman" w:hAnsi="Times New Roman" w:cs="Times New Roman"/>
                <w:lang w:eastAsia="pl-PL"/>
              </w:rPr>
              <w:lastRenderedPageBreak/>
              <w:t xml:space="preserve">poz. 816, z </w:t>
            </w:r>
            <w:proofErr w:type="spellStart"/>
            <w:r w:rsidRPr="00424221">
              <w:rPr>
                <w:rFonts w:ascii="Times New Roman" w:eastAsia="Times New Roman" w:hAnsi="Times New Roman" w:cs="Times New Roman"/>
                <w:lang w:eastAsia="pl-PL"/>
              </w:rPr>
              <w:t>późn</w:t>
            </w:r>
            <w:proofErr w:type="spellEnd"/>
            <w:r w:rsidRPr="00424221">
              <w:rPr>
                <w:rFonts w:ascii="Times New Roman" w:eastAsia="Times New Roman" w:hAnsi="Times New Roman" w:cs="Times New Roman"/>
                <w:lang w:eastAsia="pl-PL"/>
              </w:rPr>
              <w:t xml:space="preserve">. zm.) - celem uzupełnienia o możliwość uregulowania przez ministra spraw wewnętrznych technicznego dostępu do danych – udostępniania (obecnie przepis przewiduje jedynie wymianę danych między rejestrami centralnymi) – a następnie zmiany rozporządzenia Ministra Cyfryzacji z dnia 15 października 2021 r. w sprawie prowadzenia Rejestru Dowodów Osobistych (Dz. U. poz. 1903) – </w:t>
            </w:r>
          </w:p>
          <w:p w14:paraId="7D79621A" w14:textId="5274CE09" w:rsidR="00120130" w:rsidRPr="00424221" w:rsidRDefault="00120130" w:rsidP="00120130">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 xml:space="preserve">ww. kwestia do rozważenia w zależności od uzgodnionej z resortem sprawiedliwości opcji technicznej dla pozyskiwania danych z RDO. </w:t>
            </w:r>
          </w:p>
          <w:p w14:paraId="6661E82D" w14:textId="77777777" w:rsidR="00120130" w:rsidRPr="00424221" w:rsidRDefault="00120130" w:rsidP="00120130">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t xml:space="preserve">Dostępność danych RDO w KSI, z którego sądy mogą korzystać za pośrednictwem aplikacji SISSAD2, może uczynić zbędną taką, dodatkową regulację prawną. </w:t>
            </w:r>
          </w:p>
          <w:p w14:paraId="10836E61" w14:textId="6D4C3C02" w:rsidR="00120130" w:rsidRPr="00C2454A" w:rsidRDefault="00120130" w:rsidP="00120130">
            <w:pPr>
              <w:spacing w:after="0" w:line="276" w:lineRule="auto"/>
              <w:jc w:val="both"/>
              <w:rPr>
                <w:rFonts w:ascii="Times New Roman" w:eastAsia="Times New Roman" w:hAnsi="Times New Roman" w:cs="Times New Roman"/>
                <w:u w:val="single"/>
                <w:lang w:eastAsia="pl-PL"/>
              </w:rPr>
            </w:pPr>
          </w:p>
        </w:tc>
        <w:tc>
          <w:tcPr>
            <w:tcW w:w="5128" w:type="dxa"/>
            <w:shd w:val="clear" w:color="auto" w:fill="FFFFFF" w:themeFill="background1"/>
          </w:tcPr>
          <w:p w14:paraId="771E79E6" w14:textId="67376556" w:rsidR="00EF11BF" w:rsidRDefault="00EF11BF"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12D5F227" w14:textId="10656908" w:rsidR="00120130" w:rsidRPr="00424221" w:rsidRDefault="00424221" w:rsidP="00120130">
            <w:pPr>
              <w:spacing w:after="0" w:line="276" w:lineRule="auto"/>
              <w:jc w:val="both"/>
              <w:rPr>
                <w:rFonts w:ascii="Times New Roman" w:eastAsia="Times New Roman" w:hAnsi="Times New Roman" w:cs="Times New Roman"/>
                <w:lang w:eastAsia="pl-PL"/>
              </w:rPr>
            </w:pPr>
            <w:r w:rsidRPr="00424221">
              <w:rPr>
                <w:rFonts w:ascii="Times New Roman" w:eastAsia="Times New Roman" w:hAnsi="Times New Roman" w:cs="Times New Roman"/>
                <w:lang w:eastAsia="pl-PL"/>
              </w:rPr>
              <w:lastRenderedPageBreak/>
              <w:t xml:space="preserve">uwaga bezprzedmiotowa z racji zmiany treści przepisu – vide </w:t>
            </w:r>
            <w:r w:rsidR="00120E77">
              <w:rPr>
                <w:rFonts w:ascii="Times New Roman" w:eastAsia="Times New Roman" w:hAnsi="Times New Roman" w:cs="Times New Roman"/>
                <w:lang w:eastAsia="pl-PL"/>
              </w:rPr>
              <w:t>treść pozycji</w:t>
            </w:r>
            <w:r w:rsidRPr="00424221">
              <w:rPr>
                <w:rFonts w:ascii="Times New Roman" w:eastAsia="Times New Roman" w:hAnsi="Times New Roman" w:cs="Times New Roman"/>
                <w:lang w:eastAsia="pl-PL"/>
              </w:rPr>
              <w:t xml:space="preserve"> 22 </w:t>
            </w:r>
            <w:r w:rsidR="008B1F40">
              <w:rPr>
                <w:rFonts w:ascii="Times New Roman" w:eastAsia="Times New Roman" w:hAnsi="Times New Roman" w:cs="Times New Roman"/>
                <w:lang w:eastAsia="pl-PL"/>
              </w:rPr>
              <w:t>tabeli</w:t>
            </w:r>
          </w:p>
          <w:p w14:paraId="34B78F45" w14:textId="77777777" w:rsidR="00DD7C3E" w:rsidRDefault="00DD7C3E" w:rsidP="00120130">
            <w:pPr>
              <w:spacing w:after="0" w:line="276" w:lineRule="auto"/>
              <w:jc w:val="both"/>
              <w:rPr>
                <w:rFonts w:ascii="Times New Roman" w:eastAsia="Times New Roman" w:hAnsi="Times New Roman" w:cs="Times New Roman"/>
                <w:lang w:eastAsia="pl-PL"/>
              </w:rPr>
            </w:pPr>
          </w:p>
          <w:p w14:paraId="66354EB7" w14:textId="77777777" w:rsidR="00B75DCA" w:rsidRDefault="00B75DCA" w:rsidP="00120130">
            <w:pPr>
              <w:spacing w:after="0" w:line="276" w:lineRule="auto"/>
              <w:jc w:val="both"/>
              <w:rPr>
                <w:rFonts w:ascii="Times New Roman" w:eastAsia="Times New Roman" w:hAnsi="Times New Roman" w:cs="Times New Roman"/>
                <w:lang w:eastAsia="pl-PL"/>
              </w:rPr>
            </w:pPr>
          </w:p>
          <w:p w14:paraId="10ACE489" w14:textId="79B9C55D" w:rsidR="00B75DCA" w:rsidRPr="00C2454A" w:rsidRDefault="00B75DCA" w:rsidP="00120130">
            <w:pPr>
              <w:spacing w:after="0" w:line="276" w:lineRule="auto"/>
              <w:jc w:val="both"/>
              <w:rPr>
                <w:rFonts w:ascii="Times New Roman" w:eastAsia="Times New Roman" w:hAnsi="Times New Roman" w:cs="Times New Roman"/>
                <w:lang w:eastAsia="pl-PL"/>
              </w:rPr>
            </w:pPr>
          </w:p>
        </w:tc>
      </w:tr>
      <w:tr w:rsidR="00120130" w:rsidRPr="00C2454A" w14:paraId="049678E5" w14:textId="77777777" w:rsidTr="00E249CE">
        <w:tc>
          <w:tcPr>
            <w:tcW w:w="562" w:type="dxa"/>
            <w:shd w:val="clear" w:color="auto" w:fill="auto"/>
            <w:vAlign w:val="center"/>
          </w:tcPr>
          <w:p w14:paraId="0794E388" w14:textId="47AE739A" w:rsidR="00120130" w:rsidRPr="006A208D"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75E983F0" w14:textId="6E0A3CE4"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0D0FF4C7" w14:textId="77777777"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art. 4 </w:t>
            </w:r>
          </w:p>
          <w:p w14:paraId="1A777C7C" w14:textId="382E3875"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 pkt 1</w:t>
            </w:r>
          </w:p>
        </w:tc>
        <w:tc>
          <w:tcPr>
            <w:tcW w:w="6897" w:type="dxa"/>
            <w:shd w:val="clear" w:color="auto" w:fill="auto"/>
          </w:tcPr>
          <w:p w14:paraId="15880AEC" w14:textId="4F8F8B5A" w:rsidR="00120130" w:rsidRPr="00E249CE" w:rsidRDefault="00120130" w:rsidP="00120130">
            <w:pPr>
              <w:spacing w:after="0" w:line="276" w:lineRule="auto"/>
              <w:jc w:val="both"/>
              <w:rPr>
                <w:rFonts w:ascii="Times New Roman" w:eastAsia="Times New Roman" w:hAnsi="Times New Roman" w:cs="Times New Roman"/>
                <w:lang w:eastAsia="pl-PL"/>
              </w:rPr>
            </w:pPr>
            <w:r w:rsidRPr="00E249CE">
              <w:rPr>
                <w:rFonts w:ascii="Times New Roman" w:eastAsia="Times New Roman" w:hAnsi="Times New Roman" w:cs="Times New Roman"/>
                <w:lang w:eastAsia="pl-PL"/>
              </w:rPr>
              <w:t>- należy dokonać analizy przepisu z uwagi na jego możliwy charakter nadmiarowy, zbędny – należy wyjaśnić zakres danych przetwarzanych w KSI, w szczególności:</w:t>
            </w:r>
          </w:p>
          <w:p w14:paraId="1D452AB4" w14:textId="2CC75176" w:rsidR="00120130" w:rsidRPr="00E249CE" w:rsidRDefault="00120130" w:rsidP="00120130">
            <w:pPr>
              <w:spacing w:after="0" w:line="276" w:lineRule="auto"/>
              <w:jc w:val="both"/>
              <w:rPr>
                <w:rFonts w:ascii="Times New Roman" w:eastAsia="Times New Roman" w:hAnsi="Times New Roman" w:cs="Times New Roman"/>
                <w:lang w:eastAsia="pl-PL"/>
              </w:rPr>
            </w:pPr>
            <w:r w:rsidRPr="00E249CE">
              <w:rPr>
                <w:rFonts w:ascii="Times New Roman" w:eastAsia="Times New Roman" w:hAnsi="Times New Roman" w:cs="Times New Roman"/>
                <w:lang w:eastAsia="pl-PL"/>
              </w:rPr>
              <w:t xml:space="preserve">a/ czy występują w nim wpisy dotyczące </w:t>
            </w:r>
            <w:r w:rsidRPr="00E249CE">
              <w:rPr>
                <w:rFonts w:ascii="Times New Roman" w:eastAsia="Times New Roman" w:hAnsi="Times New Roman" w:cs="Times New Roman"/>
                <w:u w:val="single"/>
                <w:lang w:eastAsia="pl-PL"/>
              </w:rPr>
              <w:t>wniosków</w:t>
            </w:r>
            <w:r w:rsidRPr="00E249CE">
              <w:rPr>
                <w:rFonts w:ascii="Times New Roman" w:eastAsia="Times New Roman" w:hAnsi="Times New Roman" w:cs="Times New Roman"/>
                <w:lang w:eastAsia="pl-PL"/>
              </w:rPr>
              <w:t xml:space="preserve"> ekstradycyjnych </w:t>
            </w:r>
            <w:r w:rsidRPr="00E249CE">
              <w:rPr>
                <w:rFonts w:ascii="Times New Roman" w:eastAsia="Times New Roman" w:hAnsi="Times New Roman" w:cs="Times New Roman"/>
                <w:u w:val="single"/>
                <w:lang w:eastAsia="pl-PL"/>
              </w:rPr>
              <w:t>państw spoza Unii</w:t>
            </w:r>
            <w:r w:rsidRPr="00E249CE">
              <w:rPr>
                <w:rFonts w:ascii="Times New Roman" w:eastAsia="Times New Roman" w:hAnsi="Times New Roman" w:cs="Times New Roman"/>
                <w:lang w:eastAsia="pl-PL"/>
              </w:rPr>
              <w:t xml:space="preserve"> (np. inne państwa obszaru </w:t>
            </w:r>
            <w:proofErr w:type="spellStart"/>
            <w:r w:rsidRPr="00E249CE">
              <w:rPr>
                <w:rFonts w:ascii="Times New Roman" w:eastAsia="Times New Roman" w:hAnsi="Times New Roman" w:cs="Times New Roman"/>
                <w:lang w:eastAsia="pl-PL"/>
              </w:rPr>
              <w:t>Schengen</w:t>
            </w:r>
            <w:proofErr w:type="spellEnd"/>
            <w:r w:rsidRPr="00E249CE">
              <w:rPr>
                <w:rFonts w:ascii="Times New Roman" w:eastAsia="Times New Roman" w:hAnsi="Times New Roman" w:cs="Times New Roman"/>
                <w:lang w:eastAsia="pl-PL"/>
              </w:rPr>
              <w:t xml:space="preserve">, nie będące członkami Unii) skopiowane do krajowego zasobu z centralnej bazy </w:t>
            </w:r>
            <w:proofErr w:type="spellStart"/>
            <w:r w:rsidRPr="00E249CE">
              <w:rPr>
                <w:rFonts w:ascii="Times New Roman" w:eastAsia="Times New Roman" w:hAnsi="Times New Roman" w:cs="Times New Roman"/>
                <w:lang w:eastAsia="pl-PL"/>
              </w:rPr>
              <w:t>Schengen</w:t>
            </w:r>
            <w:proofErr w:type="spellEnd"/>
            <w:r w:rsidRPr="00E249CE">
              <w:rPr>
                <w:rFonts w:ascii="Times New Roman" w:eastAsia="Times New Roman" w:hAnsi="Times New Roman" w:cs="Times New Roman"/>
                <w:lang w:eastAsia="pl-PL"/>
              </w:rPr>
              <w:t>?</w:t>
            </w:r>
          </w:p>
          <w:p w14:paraId="50E1EC89" w14:textId="77777777" w:rsidR="00120130" w:rsidRPr="00E249CE" w:rsidRDefault="00120130" w:rsidP="00120130">
            <w:pPr>
              <w:spacing w:after="0" w:line="276" w:lineRule="auto"/>
              <w:jc w:val="both"/>
              <w:rPr>
                <w:rFonts w:ascii="Times New Roman" w:eastAsia="Times New Roman" w:hAnsi="Times New Roman" w:cs="Times New Roman"/>
                <w:lang w:eastAsia="pl-PL"/>
              </w:rPr>
            </w:pPr>
            <w:r w:rsidRPr="00E249CE">
              <w:rPr>
                <w:rFonts w:ascii="Times New Roman" w:eastAsia="Times New Roman" w:hAnsi="Times New Roman" w:cs="Times New Roman"/>
                <w:lang w:eastAsia="pl-PL"/>
              </w:rPr>
              <w:t xml:space="preserve">b/ czy </w:t>
            </w:r>
            <w:r w:rsidRPr="00E249CE">
              <w:rPr>
                <w:rFonts w:ascii="Times New Roman" w:eastAsia="Times New Roman" w:hAnsi="Times New Roman" w:cs="Times New Roman"/>
                <w:u w:val="single"/>
                <w:lang w:eastAsia="pl-PL"/>
              </w:rPr>
              <w:t>KSI zapewnia dostęp do wniosków ekstradycyjnych pochodzących z innych krajów</w:t>
            </w:r>
            <w:r w:rsidRPr="00E249CE">
              <w:rPr>
                <w:rFonts w:ascii="Times New Roman" w:eastAsia="Times New Roman" w:hAnsi="Times New Roman" w:cs="Times New Roman"/>
                <w:lang w:eastAsia="pl-PL"/>
              </w:rPr>
              <w:t xml:space="preserve"> (spoza obszaru </w:t>
            </w:r>
            <w:proofErr w:type="spellStart"/>
            <w:r w:rsidRPr="00E249CE">
              <w:rPr>
                <w:rFonts w:ascii="Times New Roman" w:eastAsia="Times New Roman" w:hAnsi="Times New Roman" w:cs="Times New Roman"/>
                <w:lang w:eastAsia="pl-PL"/>
              </w:rPr>
              <w:t>Schengen</w:t>
            </w:r>
            <w:proofErr w:type="spellEnd"/>
            <w:r w:rsidRPr="00E249CE">
              <w:rPr>
                <w:rFonts w:ascii="Times New Roman" w:eastAsia="Times New Roman" w:hAnsi="Times New Roman" w:cs="Times New Roman"/>
                <w:lang w:eastAsia="pl-PL"/>
              </w:rPr>
              <w:t>), a włączonych do KSI przez Policję na podstawie zgłoszeń Interpol</w:t>
            </w:r>
          </w:p>
          <w:p w14:paraId="74EF62E8" w14:textId="6ACF254D" w:rsidR="00120130" w:rsidRPr="00C2454A" w:rsidRDefault="005333B8" w:rsidP="005333B8">
            <w:pPr>
              <w:spacing w:after="0" w:line="276" w:lineRule="auto"/>
              <w:jc w:val="both"/>
              <w:rPr>
                <w:rFonts w:ascii="Times New Roman" w:eastAsia="Times New Roman" w:hAnsi="Times New Roman" w:cs="Times New Roman"/>
                <w:b/>
                <w:lang w:eastAsia="pl-PL"/>
              </w:rPr>
            </w:pPr>
            <w:r w:rsidRPr="00E249CE">
              <w:rPr>
                <w:rFonts w:ascii="Times New Roman" w:eastAsia="Times New Roman" w:hAnsi="Times New Roman" w:cs="Times New Roman"/>
                <w:lang w:eastAsia="pl-PL"/>
              </w:rPr>
              <w:t>Istnienie p</w:t>
            </w:r>
            <w:r w:rsidR="00120130" w:rsidRPr="00E249CE">
              <w:rPr>
                <w:rFonts w:ascii="Times New Roman" w:eastAsia="Times New Roman" w:hAnsi="Times New Roman" w:cs="Times New Roman"/>
                <w:lang w:eastAsia="pl-PL"/>
              </w:rPr>
              <w:t>rzepis</w:t>
            </w:r>
            <w:r w:rsidRPr="00E249CE">
              <w:rPr>
                <w:rFonts w:ascii="Times New Roman" w:eastAsia="Times New Roman" w:hAnsi="Times New Roman" w:cs="Times New Roman"/>
                <w:lang w:eastAsia="pl-PL"/>
              </w:rPr>
              <w:t>u uzasadnione jest pozytywną odpowiedzią</w:t>
            </w:r>
            <w:r w:rsidR="00120130" w:rsidRPr="00E249CE">
              <w:rPr>
                <w:rFonts w:ascii="Times New Roman" w:eastAsia="Times New Roman" w:hAnsi="Times New Roman" w:cs="Times New Roman"/>
                <w:lang w:eastAsia="pl-PL"/>
              </w:rPr>
              <w:t xml:space="preserve"> na  którekolwiek z ww. pytań.</w:t>
            </w:r>
          </w:p>
        </w:tc>
        <w:tc>
          <w:tcPr>
            <w:tcW w:w="5128" w:type="dxa"/>
            <w:shd w:val="clear" w:color="auto" w:fill="auto"/>
          </w:tcPr>
          <w:p w14:paraId="2F14136D" w14:textId="53A0277E" w:rsidR="00E249CE" w:rsidRDefault="00E249CE" w:rsidP="00E17DE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303A00B5" w14:textId="72BF7936" w:rsidR="00E249CE" w:rsidRDefault="00E249CE" w:rsidP="00E17DE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podczas konferencji uzgodnieniowej potwierdzono zasadność istnienia objętej uwagą regulacji</w:t>
            </w:r>
            <w:r w:rsidR="00C365A8">
              <w:rPr>
                <w:rFonts w:ascii="Times New Roman" w:eastAsia="Times New Roman" w:hAnsi="Times New Roman" w:cs="Times New Roman"/>
                <w:lang w:eastAsia="pl-PL"/>
              </w:rPr>
              <w:t>, zatem pozostawiono ją w projekcie</w:t>
            </w:r>
          </w:p>
          <w:p w14:paraId="39EE433E" w14:textId="4217FAFE" w:rsidR="00E17DE7" w:rsidRPr="00C2454A" w:rsidRDefault="00E17DE7" w:rsidP="00E17DE7">
            <w:pPr>
              <w:spacing w:after="0" w:line="276" w:lineRule="auto"/>
              <w:jc w:val="both"/>
              <w:rPr>
                <w:rFonts w:ascii="Times New Roman" w:eastAsia="Times New Roman" w:hAnsi="Times New Roman" w:cs="Times New Roman"/>
                <w:lang w:eastAsia="pl-PL"/>
              </w:rPr>
            </w:pPr>
          </w:p>
        </w:tc>
      </w:tr>
      <w:tr w:rsidR="00120130" w:rsidRPr="00C2454A" w14:paraId="10D4B493" w14:textId="77777777" w:rsidTr="00D9718E">
        <w:tc>
          <w:tcPr>
            <w:tcW w:w="562" w:type="dxa"/>
            <w:shd w:val="clear" w:color="auto" w:fill="auto"/>
            <w:vAlign w:val="center"/>
          </w:tcPr>
          <w:p w14:paraId="1BA894BA" w14:textId="3C39FDDD" w:rsidR="00120130" w:rsidRPr="00A43333"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2D5E6B81" w14:textId="11A78B45"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1A4EF5BA" w14:textId="2EB4CA49"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4 ust. 1 pkt 8 i 9</w:t>
            </w:r>
          </w:p>
        </w:tc>
        <w:tc>
          <w:tcPr>
            <w:tcW w:w="6897" w:type="dxa"/>
            <w:shd w:val="clear" w:color="auto" w:fill="auto"/>
          </w:tcPr>
          <w:p w14:paraId="11E882C8" w14:textId="77777777"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dot. wątpliwości co do tłumaczenia na j. pol. w odniesieniu do fragmentu: „dzieci, którym należy uniemożliwić podróżowanie ze względu na konkretne i realne zagrożenie, że zostaną wywiezione z terytorium państwa członkowskiego”:</w:t>
            </w:r>
          </w:p>
          <w:p w14:paraId="620FCF18" w14:textId="53C3888F"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1/ wyraz „</w:t>
            </w:r>
            <w:proofErr w:type="spellStart"/>
            <w:r w:rsidRPr="00C2454A">
              <w:rPr>
                <w:rFonts w:ascii="Times New Roman" w:eastAsia="Times New Roman" w:hAnsi="Times New Roman" w:cs="Times New Roman"/>
                <w:lang w:eastAsia="pl-PL"/>
              </w:rPr>
              <w:t>manifeste</w:t>
            </w:r>
            <w:proofErr w:type="spellEnd"/>
            <w:r w:rsidRPr="00C2454A">
              <w:rPr>
                <w:rFonts w:ascii="Times New Roman" w:eastAsia="Times New Roman" w:hAnsi="Times New Roman" w:cs="Times New Roman"/>
                <w:lang w:eastAsia="pl-PL"/>
              </w:rPr>
              <w:t>” (FR) lub „</w:t>
            </w:r>
            <w:proofErr w:type="spellStart"/>
            <w:r w:rsidRPr="00C2454A">
              <w:rPr>
                <w:rFonts w:ascii="Times New Roman" w:eastAsia="Times New Roman" w:hAnsi="Times New Roman" w:cs="Times New Roman"/>
                <w:lang w:eastAsia="pl-PL"/>
              </w:rPr>
              <w:t>apparent</w:t>
            </w:r>
            <w:proofErr w:type="spellEnd"/>
            <w:r w:rsidRPr="00C2454A">
              <w:rPr>
                <w:rFonts w:ascii="Times New Roman" w:eastAsia="Times New Roman" w:hAnsi="Times New Roman" w:cs="Times New Roman"/>
                <w:lang w:eastAsia="pl-PL"/>
              </w:rPr>
              <w:t>” (EN) - jako „realne” precyzyjnie oddaje intencje unijnego ustawodawcy;</w:t>
            </w:r>
          </w:p>
          <w:p w14:paraId="33E49625" w14:textId="77777777" w:rsidR="00120130" w:rsidRPr="00A43333"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2/ pojęcia „</w:t>
            </w:r>
            <w:r w:rsidRPr="00A43333">
              <w:rPr>
                <w:rFonts w:ascii="Times New Roman" w:eastAsia="Times New Roman" w:hAnsi="Times New Roman" w:cs="Times New Roman"/>
                <w:lang w:eastAsia="pl-PL"/>
              </w:rPr>
              <w:t>konkretny” i „realny” są zbliżone treściowo;</w:t>
            </w:r>
          </w:p>
          <w:p w14:paraId="6235AD72" w14:textId="51D52AE5" w:rsidR="00120130" w:rsidRPr="00C2454A" w:rsidRDefault="00120130" w:rsidP="00120130">
            <w:pPr>
              <w:spacing w:after="0" w:line="276" w:lineRule="auto"/>
              <w:jc w:val="both"/>
              <w:rPr>
                <w:rFonts w:ascii="Times New Roman" w:eastAsia="Times New Roman" w:hAnsi="Times New Roman" w:cs="Times New Roman"/>
                <w:lang w:eastAsia="pl-PL"/>
              </w:rPr>
            </w:pPr>
            <w:r w:rsidRPr="00A43333">
              <w:rPr>
                <w:rFonts w:ascii="Times New Roman" w:eastAsia="Times New Roman" w:hAnsi="Times New Roman" w:cs="Times New Roman"/>
                <w:lang w:eastAsia="pl-PL"/>
              </w:rPr>
              <w:lastRenderedPageBreak/>
              <w:t>3/ unijny ustawodawca chciał ograniczyć takie zgłoszenia do sytuacji, w których nie pojawiają się wątpliwości co do istnienia zagrożenia (nota bene tłumaczenie wyrazu „</w:t>
            </w:r>
            <w:proofErr w:type="spellStart"/>
            <w:r w:rsidRPr="00A43333">
              <w:rPr>
                <w:rFonts w:ascii="Times New Roman" w:eastAsia="Times New Roman" w:hAnsi="Times New Roman" w:cs="Times New Roman"/>
                <w:lang w:eastAsia="pl-PL"/>
              </w:rPr>
              <w:t>risk</w:t>
            </w:r>
            <w:proofErr w:type="spellEnd"/>
            <w:r w:rsidRPr="00A43333">
              <w:rPr>
                <w:rFonts w:ascii="Times New Roman" w:eastAsia="Times New Roman" w:hAnsi="Times New Roman" w:cs="Times New Roman"/>
                <w:lang w:eastAsia="pl-PL"/>
              </w:rPr>
              <w:t>” jako „zagrożenie”, zamiast „ryzyko”, także jest dyskusyjne), w których oczywistym jest, że zachodzi takie ryzyko lub istnieje zagrożenie.</w:t>
            </w:r>
          </w:p>
        </w:tc>
        <w:tc>
          <w:tcPr>
            <w:tcW w:w="5128" w:type="dxa"/>
            <w:shd w:val="clear" w:color="auto" w:fill="auto"/>
          </w:tcPr>
          <w:p w14:paraId="4F996F82" w14:textId="5831C0DC" w:rsidR="002C23C6" w:rsidRDefault="002C23C6" w:rsidP="00A4333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5DBEBC9E" w14:textId="69A87BC7" w:rsidR="008A2E18" w:rsidRPr="00A43333" w:rsidRDefault="00AC1A26" w:rsidP="00A43333">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A43333" w:rsidRPr="00A43333">
              <w:rPr>
                <w:rFonts w:ascii="Times New Roman" w:eastAsia="Times New Roman" w:hAnsi="Times New Roman" w:cs="Times New Roman"/>
                <w:lang w:eastAsia="pl-PL"/>
              </w:rPr>
              <w:t>uwzględniono</w:t>
            </w:r>
            <w:r w:rsidR="002C23C6">
              <w:rPr>
                <w:rFonts w:ascii="Times New Roman" w:eastAsia="Times New Roman" w:hAnsi="Times New Roman" w:cs="Times New Roman"/>
                <w:lang w:eastAsia="pl-PL"/>
              </w:rPr>
              <w:t xml:space="preserve"> </w:t>
            </w:r>
            <w:r w:rsidR="00A43333" w:rsidRPr="00A43333">
              <w:rPr>
                <w:rFonts w:ascii="Times New Roman" w:eastAsia="Times New Roman" w:hAnsi="Times New Roman" w:cs="Times New Roman"/>
                <w:lang w:eastAsia="pl-PL"/>
              </w:rPr>
              <w:t xml:space="preserve">- </w:t>
            </w:r>
            <w:r w:rsidR="000D65AC">
              <w:rPr>
                <w:rFonts w:ascii="Times New Roman" w:eastAsia="Times New Roman" w:hAnsi="Times New Roman" w:cs="Times New Roman"/>
                <w:lang w:eastAsia="pl-PL"/>
              </w:rPr>
              <w:t xml:space="preserve">w projekcie </w:t>
            </w:r>
            <w:r w:rsidR="00BB5052">
              <w:rPr>
                <w:rFonts w:ascii="Times New Roman" w:eastAsia="Times New Roman" w:hAnsi="Times New Roman" w:cs="Times New Roman"/>
                <w:lang w:eastAsia="pl-PL"/>
              </w:rPr>
              <w:t xml:space="preserve">w zakresie art. 3 i 4 usunięto określenie </w:t>
            </w:r>
            <w:r w:rsidR="00A43333" w:rsidRPr="00A43333">
              <w:rPr>
                <w:rFonts w:ascii="Times New Roman" w:eastAsia="Times New Roman" w:hAnsi="Times New Roman" w:cs="Times New Roman"/>
                <w:lang w:eastAsia="pl-PL"/>
              </w:rPr>
              <w:t>„</w:t>
            </w:r>
            <w:r w:rsidR="000D65AC">
              <w:rPr>
                <w:rFonts w:ascii="Times New Roman" w:eastAsia="Times New Roman" w:hAnsi="Times New Roman" w:cs="Times New Roman"/>
                <w:lang w:eastAsia="pl-PL"/>
              </w:rPr>
              <w:t>konkretne</w:t>
            </w:r>
            <w:r w:rsidR="002C23C6">
              <w:rPr>
                <w:rFonts w:ascii="Times New Roman" w:eastAsia="Times New Roman" w:hAnsi="Times New Roman" w:cs="Times New Roman"/>
                <w:lang w:eastAsia="pl-PL"/>
              </w:rPr>
              <w:t>”; d</w:t>
            </w:r>
            <w:r w:rsidR="00A43333" w:rsidRPr="00A43333">
              <w:rPr>
                <w:rFonts w:ascii="Times New Roman" w:eastAsia="Times New Roman" w:hAnsi="Times New Roman" w:cs="Times New Roman"/>
                <w:lang w:eastAsia="pl-PL"/>
              </w:rPr>
              <w:t>okonano korekty uzasadnienia projektu i OSR</w:t>
            </w:r>
          </w:p>
          <w:p w14:paraId="3864DF3B" w14:textId="4BB3360D" w:rsidR="008A2E18" w:rsidRPr="00A43333" w:rsidRDefault="008A2E18" w:rsidP="00120130">
            <w:pPr>
              <w:spacing w:after="0" w:line="276" w:lineRule="auto"/>
              <w:jc w:val="both"/>
              <w:rPr>
                <w:rFonts w:ascii="Times New Roman" w:eastAsia="Times New Roman" w:hAnsi="Times New Roman" w:cs="Times New Roman"/>
                <w:lang w:eastAsia="pl-PL"/>
              </w:rPr>
            </w:pPr>
          </w:p>
        </w:tc>
      </w:tr>
      <w:tr w:rsidR="00120130" w:rsidRPr="00C2454A" w14:paraId="644344D7" w14:textId="77777777" w:rsidTr="004B767F">
        <w:tc>
          <w:tcPr>
            <w:tcW w:w="562" w:type="dxa"/>
            <w:shd w:val="clear" w:color="auto" w:fill="FFFFFF" w:themeFill="background1"/>
            <w:vAlign w:val="center"/>
          </w:tcPr>
          <w:p w14:paraId="4B203295" w14:textId="4C57A0CC" w:rsidR="00120130" w:rsidRPr="00C2454A"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2D416D66" w14:textId="54E09E0C"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FFFFFF" w:themeFill="background1"/>
            <w:vAlign w:val="center"/>
          </w:tcPr>
          <w:p w14:paraId="420EB1C7" w14:textId="5D1E9758"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4 ust. 1 pkt 12-15</w:t>
            </w:r>
          </w:p>
        </w:tc>
        <w:tc>
          <w:tcPr>
            <w:tcW w:w="6897" w:type="dxa"/>
            <w:shd w:val="clear" w:color="auto" w:fill="FFFFFF" w:themeFill="background1"/>
          </w:tcPr>
          <w:p w14:paraId="02CBF6E6" w14:textId="77777777" w:rsidR="00120130" w:rsidRPr="00C2454A" w:rsidRDefault="00120130" w:rsidP="00120130">
            <w:pPr>
              <w:spacing w:after="0" w:line="276" w:lineRule="auto"/>
              <w:jc w:val="both"/>
              <w:rPr>
                <w:rFonts w:ascii="Times New Roman" w:hAnsi="Times New Roman" w:cs="Times New Roman"/>
              </w:rPr>
            </w:pPr>
            <w:r w:rsidRPr="00C2454A">
              <w:rPr>
                <w:rFonts w:ascii="Times New Roman" w:eastAsia="Times New Roman" w:hAnsi="Times New Roman" w:cs="Times New Roman"/>
                <w:lang w:eastAsia="pl-PL"/>
              </w:rPr>
              <w:t>należy rozważyć korektę terminologiczną w postaci posługiwania się wyrażeniem „rzeczy mogące stanowić dowód w sprawie lub podlegające zajęciu w celu zabezpieczenia”.</w:t>
            </w:r>
            <w:r w:rsidRPr="00C2454A">
              <w:rPr>
                <w:rFonts w:ascii="Times New Roman" w:hAnsi="Times New Roman" w:cs="Times New Roman"/>
              </w:rPr>
              <w:t xml:space="preserve"> </w:t>
            </w:r>
          </w:p>
          <w:p w14:paraId="010BD712" w14:textId="77777777"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 odejście od dosłownego kopiowania redakcji przepisów unijnego instrumentu na rzecz stosowania wyrażeń i instytucji prawa krajowego odpowiadających istocie unijnej regulacji wydaje się lepszym rozwiązaniem od stwarzania ryzyka kreowania, tylko na podstawie różnic językowych, nowych bytów prawnych.</w:t>
            </w:r>
          </w:p>
          <w:p w14:paraId="3E468729" w14:textId="77777777" w:rsidR="00120130" w:rsidRPr="00C2454A" w:rsidRDefault="00120130" w:rsidP="00120130">
            <w:pPr>
              <w:spacing w:after="0" w:line="276" w:lineRule="auto"/>
              <w:jc w:val="both"/>
              <w:rPr>
                <w:rFonts w:ascii="Times New Roman" w:eastAsia="Times New Roman" w:hAnsi="Times New Roman" w:cs="Times New Roman"/>
                <w:lang w:eastAsia="pl-PL"/>
              </w:rPr>
            </w:pPr>
          </w:p>
          <w:p w14:paraId="4D290A5B" w14:textId="348818E3" w:rsidR="00120130" w:rsidRPr="004B767F"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Ww. </w:t>
            </w:r>
            <w:r w:rsidR="004C22D0">
              <w:rPr>
                <w:rFonts w:ascii="Times New Roman" w:eastAsia="Times New Roman" w:hAnsi="Times New Roman" w:cs="Times New Roman"/>
                <w:lang w:eastAsia="pl-PL"/>
              </w:rPr>
              <w:t>bez oceny zasadności wyboru, by</w:t>
            </w:r>
            <w:r w:rsidRPr="004B767F">
              <w:rPr>
                <w:rFonts w:ascii="Times New Roman" w:eastAsia="Times New Roman" w:hAnsi="Times New Roman" w:cs="Times New Roman"/>
                <w:lang w:eastAsia="pl-PL"/>
              </w:rPr>
              <w:t xml:space="preserve"> użyć sformułowania „przedmiotów podlegających zatrzymaniu albo zatrzymaniu w celu wykorzystania jako dowód w postępowaniu karnym”, tj. rozstrzygnąć na rzecz instytucji zatrzymania rzeczy – choć:</w:t>
            </w:r>
          </w:p>
          <w:p w14:paraId="7C0F2F74" w14:textId="77777777" w:rsidR="00120130" w:rsidRPr="004B767F" w:rsidRDefault="00120130" w:rsidP="00120130">
            <w:pPr>
              <w:spacing w:after="0" w:line="276" w:lineRule="auto"/>
              <w:jc w:val="both"/>
              <w:rPr>
                <w:rFonts w:ascii="Times New Roman" w:eastAsia="Times New Roman" w:hAnsi="Times New Roman" w:cs="Times New Roman"/>
                <w:lang w:eastAsia="pl-PL"/>
              </w:rPr>
            </w:pPr>
            <w:r w:rsidRPr="004B767F">
              <w:rPr>
                <w:rFonts w:ascii="Times New Roman" w:eastAsia="Times New Roman" w:hAnsi="Times New Roman" w:cs="Times New Roman"/>
                <w:lang w:eastAsia="pl-PL"/>
              </w:rPr>
              <w:t xml:space="preserve">1/ w rozporządzeniu występuje wyrażenie „przedmiotów podlegających zajęciu lub przeznaczonych do wykorzystania jako dowód w postępowaniu karnym”, a art. 39 </w:t>
            </w:r>
            <w:proofErr w:type="spellStart"/>
            <w:r w:rsidRPr="004B767F">
              <w:rPr>
                <w:rFonts w:ascii="Times New Roman" w:eastAsia="Times New Roman" w:hAnsi="Times New Roman" w:cs="Times New Roman"/>
                <w:lang w:eastAsia="pl-PL"/>
              </w:rPr>
              <w:t>rozp</w:t>
            </w:r>
            <w:proofErr w:type="spellEnd"/>
            <w:r w:rsidRPr="004B767F">
              <w:rPr>
                <w:rFonts w:ascii="Times New Roman" w:eastAsia="Times New Roman" w:hAnsi="Times New Roman" w:cs="Times New Roman"/>
                <w:lang w:eastAsia="pl-PL"/>
              </w:rPr>
              <w:t xml:space="preserve">. 2018/1861 wydaje się wymagać jedynie zabezpieczenia przedmiotu na podstawie odpowiednich przepisów krajowych, a kwestie dalszego postępowania są uregulowane instrumentami współpracy sądowej w sprawach karnych (wydanie przedmiotu, przepadek, itd.). </w:t>
            </w:r>
          </w:p>
          <w:p w14:paraId="61CC50C2" w14:textId="77777777" w:rsidR="00120130" w:rsidRDefault="00120130" w:rsidP="00120130">
            <w:pPr>
              <w:spacing w:after="0" w:line="276" w:lineRule="auto"/>
              <w:jc w:val="both"/>
              <w:rPr>
                <w:rFonts w:ascii="Times New Roman" w:eastAsia="Times New Roman" w:hAnsi="Times New Roman" w:cs="Times New Roman"/>
                <w:lang w:eastAsia="pl-PL"/>
              </w:rPr>
            </w:pPr>
            <w:r w:rsidRPr="004B767F">
              <w:rPr>
                <w:rFonts w:ascii="Times New Roman" w:eastAsia="Times New Roman" w:hAnsi="Times New Roman" w:cs="Times New Roman"/>
                <w:lang w:eastAsia="pl-PL"/>
              </w:rPr>
              <w:t>2/ nie można wykluczyć, że intencją unijnego ustawodawcy było „tymczasowe zajęcie” rzeczy (art. 295 k.p.k., do którego stosuje się m.in. przepisy art. 217 k.p.k.)</w:t>
            </w:r>
          </w:p>
          <w:p w14:paraId="48C70352" w14:textId="2F1B46C5" w:rsidR="004B767F" w:rsidRPr="00C2454A" w:rsidRDefault="004B767F" w:rsidP="00120130">
            <w:pPr>
              <w:spacing w:after="0" w:line="276" w:lineRule="auto"/>
              <w:jc w:val="both"/>
              <w:rPr>
                <w:rFonts w:ascii="Times New Roman" w:eastAsia="Times New Roman" w:hAnsi="Times New Roman" w:cs="Times New Roman"/>
                <w:lang w:eastAsia="pl-PL"/>
              </w:rPr>
            </w:pPr>
          </w:p>
        </w:tc>
        <w:tc>
          <w:tcPr>
            <w:tcW w:w="5128" w:type="dxa"/>
            <w:shd w:val="clear" w:color="auto" w:fill="FFFFFF" w:themeFill="background1"/>
          </w:tcPr>
          <w:p w14:paraId="43DD1B7F" w14:textId="03127CF9" w:rsidR="00B96007" w:rsidRDefault="00B96007"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p>
          <w:p w14:paraId="4CA2C723" w14:textId="67AC91C9" w:rsidR="00821DED" w:rsidRDefault="00AC1A26"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9D207E">
              <w:rPr>
                <w:rFonts w:ascii="Times New Roman" w:eastAsia="Times New Roman" w:hAnsi="Times New Roman" w:cs="Times New Roman"/>
                <w:lang w:eastAsia="pl-PL"/>
              </w:rPr>
              <w:t>u</w:t>
            </w:r>
            <w:r w:rsidR="009A0CFF">
              <w:rPr>
                <w:rFonts w:ascii="Times New Roman" w:eastAsia="Times New Roman" w:hAnsi="Times New Roman" w:cs="Times New Roman"/>
                <w:lang w:eastAsia="pl-PL"/>
              </w:rPr>
              <w:t>względniono</w:t>
            </w:r>
            <w:r w:rsidR="00B96007">
              <w:rPr>
                <w:rFonts w:ascii="Times New Roman" w:eastAsia="Times New Roman" w:hAnsi="Times New Roman" w:cs="Times New Roman"/>
                <w:lang w:eastAsia="pl-PL"/>
              </w:rPr>
              <w:t xml:space="preserve"> </w:t>
            </w:r>
            <w:r w:rsidR="009A0CFF">
              <w:rPr>
                <w:rFonts w:ascii="Times New Roman" w:eastAsia="Times New Roman" w:hAnsi="Times New Roman" w:cs="Times New Roman"/>
                <w:lang w:eastAsia="pl-PL"/>
              </w:rPr>
              <w:t>- sformułowanie „</w:t>
            </w:r>
            <w:r w:rsidR="007825A1">
              <w:rPr>
                <w:rFonts w:ascii="Times New Roman" w:eastAsia="Times New Roman" w:hAnsi="Times New Roman" w:cs="Times New Roman"/>
                <w:lang w:eastAsia="pl-PL"/>
              </w:rPr>
              <w:t xml:space="preserve">podlegających </w:t>
            </w:r>
            <w:r w:rsidR="009A0CFF">
              <w:rPr>
                <w:rFonts w:ascii="Times New Roman" w:eastAsia="Times New Roman" w:hAnsi="Times New Roman" w:cs="Times New Roman"/>
                <w:lang w:eastAsia="pl-PL"/>
              </w:rPr>
              <w:t>zatrzymaniu w celu wykorzystania jako dowód w postępowaniu karnym” zastąpiono sformułowaniem „mogących stanowić dowód w sprawie lub podlegających zajęciu w celu zabezpieczenia” – jako wyraz dostosowania do instytucji pr</w:t>
            </w:r>
            <w:r w:rsidR="00F303D4">
              <w:rPr>
                <w:rFonts w:ascii="Times New Roman" w:eastAsia="Times New Roman" w:hAnsi="Times New Roman" w:cs="Times New Roman"/>
                <w:lang w:eastAsia="pl-PL"/>
              </w:rPr>
              <w:t>awa kra</w:t>
            </w:r>
            <w:r w:rsidR="004B767F">
              <w:rPr>
                <w:rFonts w:ascii="Times New Roman" w:eastAsia="Times New Roman" w:hAnsi="Times New Roman" w:cs="Times New Roman"/>
                <w:lang w:eastAsia="pl-PL"/>
              </w:rPr>
              <w:t xml:space="preserve">jowego - tj. zgodnie z art. 217 </w:t>
            </w:r>
            <w:proofErr w:type="spellStart"/>
            <w:r w:rsidR="004B767F">
              <w:rPr>
                <w:rFonts w:ascii="Times New Roman" w:eastAsia="Times New Roman" w:hAnsi="Times New Roman" w:cs="Times New Roman"/>
                <w:lang w:eastAsia="pl-PL"/>
              </w:rPr>
              <w:t>kpk</w:t>
            </w:r>
            <w:proofErr w:type="spellEnd"/>
            <w:r w:rsidR="004B767F">
              <w:rPr>
                <w:rFonts w:ascii="Times New Roman" w:eastAsia="Times New Roman" w:hAnsi="Times New Roman" w:cs="Times New Roman"/>
                <w:lang w:eastAsia="pl-PL"/>
              </w:rPr>
              <w:t xml:space="preserve"> - </w:t>
            </w:r>
            <w:r w:rsidR="00F303D4">
              <w:rPr>
                <w:rFonts w:ascii="Times New Roman" w:eastAsia="Times New Roman" w:hAnsi="Times New Roman" w:cs="Times New Roman"/>
                <w:lang w:eastAsia="pl-PL"/>
              </w:rPr>
              <w:t>które odpow</w:t>
            </w:r>
            <w:r w:rsidR="00B96007">
              <w:rPr>
                <w:rFonts w:ascii="Times New Roman" w:eastAsia="Times New Roman" w:hAnsi="Times New Roman" w:cs="Times New Roman"/>
                <w:lang w:eastAsia="pl-PL"/>
              </w:rPr>
              <w:t>iada istocie unijnej regulacji; d</w:t>
            </w:r>
            <w:r w:rsidR="007825A1">
              <w:rPr>
                <w:rFonts w:ascii="Times New Roman" w:eastAsia="Times New Roman" w:hAnsi="Times New Roman" w:cs="Times New Roman"/>
                <w:lang w:eastAsia="pl-PL"/>
              </w:rPr>
              <w:t>okonano też zmiany</w:t>
            </w:r>
            <w:r w:rsidR="006665F7">
              <w:rPr>
                <w:rFonts w:ascii="Times New Roman" w:eastAsia="Times New Roman" w:hAnsi="Times New Roman" w:cs="Times New Roman"/>
                <w:lang w:eastAsia="pl-PL"/>
              </w:rPr>
              <w:t xml:space="preserve"> analogicznego sformułowania w </w:t>
            </w:r>
            <w:r w:rsidR="004B767F">
              <w:rPr>
                <w:rFonts w:ascii="Times New Roman" w:eastAsia="Times New Roman" w:hAnsi="Times New Roman" w:cs="Times New Roman"/>
                <w:lang w:eastAsia="pl-PL"/>
              </w:rPr>
              <w:t>pozostały</w:t>
            </w:r>
            <w:r w:rsidR="00B96007">
              <w:rPr>
                <w:rFonts w:ascii="Times New Roman" w:eastAsia="Times New Roman" w:hAnsi="Times New Roman" w:cs="Times New Roman"/>
                <w:lang w:eastAsia="pl-PL"/>
              </w:rPr>
              <w:t xml:space="preserve">ch przepisach zawierających ww.; </w:t>
            </w:r>
            <w:r w:rsidR="007825A1">
              <w:rPr>
                <w:rFonts w:ascii="Times New Roman" w:eastAsia="Times New Roman" w:hAnsi="Times New Roman" w:cs="Times New Roman"/>
                <w:lang w:eastAsia="pl-PL"/>
              </w:rPr>
              <w:t>dodano stosowny fragment do uzasadnienia projektu w części odnoszące</w:t>
            </w:r>
            <w:r w:rsidR="004B767F">
              <w:rPr>
                <w:rFonts w:ascii="Times New Roman" w:eastAsia="Times New Roman" w:hAnsi="Times New Roman" w:cs="Times New Roman"/>
                <w:lang w:eastAsia="pl-PL"/>
              </w:rPr>
              <w:t xml:space="preserve">j się do art. 3 ust. 1 pkt 12 i </w:t>
            </w:r>
            <w:r w:rsidR="00821DED">
              <w:rPr>
                <w:rFonts w:ascii="Times New Roman" w:eastAsia="Times New Roman" w:hAnsi="Times New Roman" w:cs="Times New Roman"/>
                <w:lang w:eastAsia="pl-PL"/>
              </w:rPr>
              <w:t>korekty OSR</w:t>
            </w:r>
          </w:p>
          <w:p w14:paraId="7FC283B2" w14:textId="39C5514A" w:rsidR="004375EC" w:rsidRPr="00C2454A" w:rsidRDefault="004375EC" w:rsidP="004375EC">
            <w:pPr>
              <w:spacing w:after="0" w:line="276" w:lineRule="auto"/>
              <w:jc w:val="both"/>
              <w:rPr>
                <w:rFonts w:ascii="Times New Roman" w:eastAsia="Times New Roman" w:hAnsi="Times New Roman" w:cs="Times New Roman"/>
                <w:lang w:eastAsia="pl-PL"/>
              </w:rPr>
            </w:pPr>
          </w:p>
        </w:tc>
      </w:tr>
      <w:tr w:rsidR="00120130" w:rsidRPr="00C2454A" w14:paraId="522A28B0" w14:textId="77777777" w:rsidTr="006A208D">
        <w:tc>
          <w:tcPr>
            <w:tcW w:w="562" w:type="dxa"/>
            <w:shd w:val="clear" w:color="auto" w:fill="auto"/>
            <w:vAlign w:val="center"/>
          </w:tcPr>
          <w:p w14:paraId="438C2062" w14:textId="1474ABBC" w:rsidR="00120130" w:rsidRPr="006A208D"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71C33820" w14:textId="2A4619B2"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694D0C5F" w14:textId="345E6509"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23</w:t>
            </w:r>
          </w:p>
        </w:tc>
        <w:tc>
          <w:tcPr>
            <w:tcW w:w="6897" w:type="dxa"/>
            <w:shd w:val="clear" w:color="auto" w:fill="auto"/>
          </w:tcPr>
          <w:p w14:paraId="20CA3964" w14:textId="208E60CB" w:rsidR="00120130" w:rsidRPr="006C3844"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rozważenie </w:t>
            </w:r>
            <w:r w:rsidRPr="006C3844">
              <w:rPr>
                <w:rFonts w:ascii="Times New Roman" w:eastAsia="Times New Roman" w:hAnsi="Times New Roman" w:cs="Times New Roman"/>
                <w:lang w:eastAsia="pl-PL"/>
              </w:rPr>
              <w:t xml:space="preserve">przeredagowania - w taki sposób, który określałby sposób procedowania przez organ, który dokonał wpisu danych do SIS, w sytuacji </w:t>
            </w:r>
            <w:r w:rsidRPr="006C3844">
              <w:rPr>
                <w:rFonts w:ascii="Times New Roman" w:eastAsia="Times New Roman" w:hAnsi="Times New Roman" w:cs="Times New Roman"/>
                <w:lang w:eastAsia="pl-PL"/>
              </w:rPr>
              <w:lastRenderedPageBreak/>
              <w:t xml:space="preserve">gdy upłynął już okres konieczny do osiągnięcia celów, dla których wpis został dokonany i zachodzi potrzeba jego usunięcia, jak również w sytuacji, gdy zachodzi potrzeba przedłużenia wpisu do SIS - konieczne jest określenie w ustawie roli centralnego organu technicznego KSI (KGP) w odniesieniu do operacji usunięcia wpisu lub przedłużenia jego ważności lub przynajmniej odesłanie w tym zakresie do przepisów art. 53 i 55 </w:t>
            </w:r>
            <w:proofErr w:type="spellStart"/>
            <w:r w:rsidRPr="006C3844">
              <w:rPr>
                <w:rFonts w:ascii="Times New Roman" w:eastAsia="Times New Roman" w:hAnsi="Times New Roman" w:cs="Times New Roman"/>
                <w:lang w:eastAsia="pl-PL"/>
              </w:rPr>
              <w:t>rozp</w:t>
            </w:r>
            <w:proofErr w:type="spellEnd"/>
            <w:r w:rsidRPr="006C3844">
              <w:rPr>
                <w:rFonts w:ascii="Times New Roman" w:eastAsia="Times New Roman" w:hAnsi="Times New Roman" w:cs="Times New Roman"/>
                <w:lang w:eastAsia="pl-PL"/>
              </w:rPr>
              <w:t xml:space="preserve">. 2018/1862, mimo bezpośredniego zastosowania obu ww. przepisów </w:t>
            </w:r>
            <w:proofErr w:type="spellStart"/>
            <w:r w:rsidRPr="006C3844">
              <w:rPr>
                <w:rFonts w:ascii="Times New Roman" w:eastAsia="Times New Roman" w:hAnsi="Times New Roman" w:cs="Times New Roman"/>
                <w:lang w:eastAsia="pl-PL"/>
              </w:rPr>
              <w:t>rozp</w:t>
            </w:r>
            <w:proofErr w:type="spellEnd"/>
            <w:r w:rsidRPr="006C3844">
              <w:rPr>
                <w:rFonts w:ascii="Times New Roman" w:eastAsia="Times New Roman" w:hAnsi="Times New Roman" w:cs="Times New Roman"/>
                <w:lang w:eastAsia="pl-PL"/>
              </w:rPr>
              <w:t xml:space="preserve">. </w:t>
            </w:r>
          </w:p>
          <w:p w14:paraId="658E85F9" w14:textId="77777777" w:rsidR="00120130" w:rsidRPr="006C3844" w:rsidRDefault="00120130" w:rsidP="00120130">
            <w:pPr>
              <w:spacing w:after="0" w:line="276" w:lineRule="auto"/>
              <w:jc w:val="both"/>
              <w:rPr>
                <w:rFonts w:ascii="Times New Roman" w:eastAsia="Times New Roman" w:hAnsi="Times New Roman" w:cs="Times New Roman"/>
                <w:lang w:eastAsia="pl-PL"/>
              </w:rPr>
            </w:pPr>
            <w:r w:rsidRPr="006C3844">
              <w:rPr>
                <w:rFonts w:ascii="Times New Roman" w:eastAsia="Times New Roman" w:hAnsi="Times New Roman" w:cs="Times New Roman"/>
                <w:lang w:eastAsia="pl-PL"/>
              </w:rPr>
              <w:t>U: projekt ogranicza dyspozycję tego przepisu tylko do sytuacji stwierdzenia przez organ, że dane SIS są nieprawidłowe, obligując do niezwłocznego poinformowania o tym fakcie biura SIRENE w celu weryfikacji ich prawidłowości;</w:t>
            </w:r>
          </w:p>
          <w:p w14:paraId="4BE09651" w14:textId="2DF194A5" w:rsidR="00120130" w:rsidRPr="00C2454A" w:rsidRDefault="00120130" w:rsidP="00120130">
            <w:pPr>
              <w:spacing w:after="0" w:line="276" w:lineRule="auto"/>
              <w:jc w:val="both"/>
              <w:rPr>
                <w:rFonts w:ascii="Times New Roman" w:eastAsia="Times New Roman" w:hAnsi="Times New Roman" w:cs="Times New Roman"/>
                <w:lang w:eastAsia="pl-PL"/>
              </w:rPr>
            </w:pPr>
            <w:r w:rsidRPr="006C3844">
              <w:rPr>
                <w:rFonts w:ascii="Times New Roman" w:eastAsia="Times New Roman" w:hAnsi="Times New Roman" w:cs="Times New Roman"/>
                <w:lang w:eastAsia="pl-PL"/>
              </w:rPr>
              <w:t xml:space="preserve">- z założeń projektu ustawy wynika, że zmiana art. 23 jest konsekwencją art. 53 i 55 </w:t>
            </w:r>
            <w:proofErr w:type="spellStart"/>
            <w:r w:rsidRPr="006C3844">
              <w:rPr>
                <w:rFonts w:ascii="Times New Roman" w:eastAsia="Times New Roman" w:hAnsi="Times New Roman" w:cs="Times New Roman"/>
                <w:lang w:eastAsia="pl-PL"/>
              </w:rPr>
              <w:t>rozp</w:t>
            </w:r>
            <w:proofErr w:type="spellEnd"/>
            <w:r w:rsidRPr="006C3844">
              <w:rPr>
                <w:rFonts w:ascii="Times New Roman" w:eastAsia="Times New Roman" w:hAnsi="Times New Roman" w:cs="Times New Roman"/>
                <w:lang w:eastAsia="pl-PL"/>
              </w:rPr>
              <w:t xml:space="preserve">. 2018/1862 (w tekście przesłanego dokumentu prawdopodobnie omyłkowo wskazano </w:t>
            </w:r>
            <w:proofErr w:type="spellStart"/>
            <w:r w:rsidRPr="006C3844">
              <w:rPr>
                <w:rFonts w:ascii="Times New Roman" w:eastAsia="Times New Roman" w:hAnsi="Times New Roman" w:cs="Times New Roman"/>
                <w:lang w:eastAsia="pl-PL"/>
              </w:rPr>
              <w:t>rozp</w:t>
            </w:r>
            <w:proofErr w:type="spellEnd"/>
            <w:r w:rsidRPr="006C3844">
              <w:rPr>
                <w:rFonts w:ascii="Times New Roman" w:eastAsia="Times New Roman" w:hAnsi="Times New Roman" w:cs="Times New Roman"/>
                <w:lang w:eastAsia="pl-PL"/>
              </w:rPr>
              <w:t>. 2018/1861),</w:t>
            </w:r>
            <w:r w:rsidRPr="006A208D">
              <w:rPr>
                <w:rFonts w:ascii="Times New Roman" w:eastAsia="Times New Roman" w:hAnsi="Times New Roman" w:cs="Times New Roman"/>
                <w:lang w:eastAsia="pl-PL"/>
              </w:rPr>
              <w:t xml:space="preserve"> które dotyczą terminów weryfikacji wpisów dotyczących osób i wskazują przesłanki usunięcia wpisów do SIS.</w:t>
            </w:r>
          </w:p>
        </w:tc>
        <w:tc>
          <w:tcPr>
            <w:tcW w:w="5128" w:type="dxa"/>
            <w:shd w:val="clear" w:color="auto" w:fill="auto"/>
          </w:tcPr>
          <w:p w14:paraId="5063F61F" w14:textId="25E5D682" w:rsidR="00425580" w:rsidRDefault="00425580" w:rsidP="006A208D">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p>
          <w:p w14:paraId="7A994B56" w14:textId="6623A7BD" w:rsidR="00AD6149" w:rsidRDefault="00AC1A26" w:rsidP="0042558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6A208D" w:rsidRPr="006A208D">
              <w:rPr>
                <w:rFonts w:ascii="Times New Roman" w:eastAsia="Times New Roman" w:hAnsi="Times New Roman" w:cs="Times New Roman"/>
                <w:lang w:eastAsia="pl-PL"/>
              </w:rPr>
              <w:t>uwzględniono</w:t>
            </w:r>
            <w:r w:rsidR="00425580">
              <w:rPr>
                <w:rFonts w:ascii="Times New Roman" w:eastAsia="Times New Roman" w:hAnsi="Times New Roman" w:cs="Times New Roman"/>
                <w:lang w:eastAsia="pl-PL"/>
              </w:rPr>
              <w:t xml:space="preserve"> </w:t>
            </w:r>
            <w:r w:rsidR="006A208D" w:rsidRPr="006A208D">
              <w:rPr>
                <w:rFonts w:ascii="Times New Roman" w:eastAsia="Times New Roman" w:hAnsi="Times New Roman" w:cs="Times New Roman"/>
                <w:lang w:eastAsia="pl-PL"/>
              </w:rPr>
              <w:t xml:space="preserve">- vide </w:t>
            </w:r>
            <w:r>
              <w:rPr>
                <w:rFonts w:ascii="Times New Roman" w:eastAsia="Times New Roman" w:hAnsi="Times New Roman" w:cs="Times New Roman"/>
                <w:lang w:eastAsia="pl-PL"/>
              </w:rPr>
              <w:t>treść pozycji</w:t>
            </w:r>
            <w:r w:rsidR="006A208D" w:rsidRPr="006A208D">
              <w:rPr>
                <w:rFonts w:ascii="Times New Roman" w:eastAsia="Times New Roman" w:hAnsi="Times New Roman" w:cs="Times New Roman"/>
                <w:lang w:eastAsia="pl-PL"/>
              </w:rPr>
              <w:t xml:space="preserve"> 4 </w:t>
            </w:r>
            <w:r>
              <w:rPr>
                <w:rFonts w:ascii="Times New Roman" w:eastAsia="Times New Roman" w:hAnsi="Times New Roman" w:cs="Times New Roman"/>
                <w:lang w:eastAsia="pl-PL"/>
              </w:rPr>
              <w:t>tabeli</w:t>
            </w:r>
          </w:p>
          <w:p w14:paraId="74A7530E" w14:textId="75B0437D" w:rsidR="00425580" w:rsidRPr="00C2454A" w:rsidRDefault="00425580" w:rsidP="0042558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w tym zakresie uzgodniono też potrzebę korekty redakcyjnej pojęcia „przedłużenie wpisu do SIS” na „przedłużenie okresu ważności wpisu do SIS”</w:t>
            </w:r>
          </w:p>
        </w:tc>
      </w:tr>
      <w:tr w:rsidR="00120130" w:rsidRPr="00C2454A" w14:paraId="55E6C8A5" w14:textId="77777777" w:rsidTr="00F15F57">
        <w:tc>
          <w:tcPr>
            <w:tcW w:w="562" w:type="dxa"/>
            <w:shd w:val="clear" w:color="auto" w:fill="FFFFFF" w:themeFill="background1"/>
            <w:vAlign w:val="center"/>
          </w:tcPr>
          <w:p w14:paraId="22F8F618" w14:textId="77777777" w:rsidR="00120130" w:rsidRPr="00EE236F"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4405B463" w14:textId="38C4A584" w:rsidR="00120130" w:rsidRPr="00EE236F" w:rsidRDefault="00120130" w:rsidP="00120130">
            <w:pPr>
              <w:spacing w:after="0" w:line="276" w:lineRule="auto"/>
              <w:jc w:val="center"/>
              <w:rPr>
                <w:rFonts w:ascii="Times New Roman" w:eastAsia="Times New Roman" w:hAnsi="Times New Roman" w:cs="Times New Roman"/>
                <w:lang w:eastAsia="pl-PL"/>
              </w:rPr>
            </w:pPr>
            <w:r w:rsidRPr="00EE236F">
              <w:rPr>
                <w:rFonts w:ascii="Times New Roman" w:eastAsia="Times New Roman" w:hAnsi="Times New Roman" w:cs="Times New Roman"/>
                <w:lang w:eastAsia="pl-PL"/>
              </w:rPr>
              <w:t>MS</w:t>
            </w:r>
          </w:p>
        </w:tc>
        <w:tc>
          <w:tcPr>
            <w:tcW w:w="1394" w:type="dxa"/>
            <w:shd w:val="clear" w:color="auto" w:fill="FFFFFF" w:themeFill="background1"/>
            <w:vAlign w:val="center"/>
          </w:tcPr>
          <w:p w14:paraId="3E030C7E" w14:textId="77777777" w:rsidR="00120130" w:rsidRDefault="00120130" w:rsidP="00120130">
            <w:pPr>
              <w:spacing w:after="0" w:line="276" w:lineRule="auto"/>
              <w:jc w:val="both"/>
              <w:rPr>
                <w:rFonts w:ascii="Times New Roman" w:eastAsia="Times New Roman" w:hAnsi="Times New Roman" w:cs="Times New Roman"/>
                <w:lang w:eastAsia="pl-PL"/>
              </w:rPr>
            </w:pPr>
            <w:r w:rsidRPr="00EE236F">
              <w:rPr>
                <w:rFonts w:ascii="Times New Roman" w:eastAsia="Times New Roman" w:hAnsi="Times New Roman" w:cs="Times New Roman"/>
                <w:lang w:eastAsia="pl-PL"/>
              </w:rPr>
              <w:t xml:space="preserve">art. 3 ust. 1 pkt 2 </w:t>
            </w:r>
          </w:p>
          <w:p w14:paraId="111DA328" w14:textId="77777777" w:rsidR="00295F87" w:rsidRDefault="00295F87"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14:paraId="2C202D68" w14:textId="77777777" w:rsidR="00295F87" w:rsidRDefault="00295F87"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termin wejścia </w:t>
            </w:r>
          </w:p>
          <w:p w14:paraId="29E60040" w14:textId="697AC758" w:rsidR="00295F87" w:rsidRPr="00EE236F" w:rsidRDefault="00295F87"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 życie</w:t>
            </w:r>
          </w:p>
        </w:tc>
        <w:tc>
          <w:tcPr>
            <w:tcW w:w="6897" w:type="dxa"/>
            <w:shd w:val="clear" w:color="auto" w:fill="FFFFFF" w:themeFill="background1"/>
          </w:tcPr>
          <w:p w14:paraId="2B4A2A23" w14:textId="3B405A1D" w:rsidR="00120130" w:rsidRPr="00EE236F" w:rsidRDefault="00120130" w:rsidP="00120130">
            <w:pPr>
              <w:spacing w:after="0" w:line="276" w:lineRule="auto"/>
              <w:jc w:val="both"/>
              <w:rPr>
                <w:rFonts w:ascii="Times New Roman" w:eastAsia="Times New Roman" w:hAnsi="Times New Roman" w:cs="Times New Roman"/>
                <w:lang w:eastAsia="pl-PL"/>
              </w:rPr>
            </w:pPr>
            <w:r w:rsidRPr="00EE236F">
              <w:rPr>
                <w:rFonts w:ascii="Times New Roman" w:eastAsia="Times New Roman" w:hAnsi="Times New Roman" w:cs="Times New Roman"/>
                <w:lang w:eastAsia="pl-PL"/>
              </w:rPr>
              <w:t>1</w:t>
            </w:r>
            <w:r w:rsidRPr="006C3844">
              <w:rPr>
                <w:rFonts w:ascii="Times New Roman" w:eastAsia="Times New Roman" w:hAnsi="Times New Roman" w:cs="Times New Roman"/>
                <w:lang w:eastAsia="pl-PL"/>
              </w:rPr>
              <w:t>/ niezbędne wyjaśnienie ratio legis tego</w:t>
            </w:r>
            <w:r w:rsidRPr="00EE236F">
              <w:rPr>
                <w:rFonts w:ascii="Times New Roman" w:eastAsia="Times New Roman" w:hAnsi="Times New Roman" w:cs="Times New Roman"/>
                <w:lang w:eastAsia="pl-PL"/>
              </w:rPr>
              <w:t xml:space="preserve"> przepisu w kontekście braku korelacji w odniesieniu do prokuratury między uprawnieniami (brak uprawień do podejmowania decyzji) a czynnością techniczną – zgodnie z art. 607a k.p.k</w:t>
            </w:r>
            <w:r w:rsidRPr="00F15F57">
              <w:rPr>
                <w:rFonts w:ascii="Times New Roman" w:eastAsia="Times New Roman" w:hAnsi="Times New Roman" w:cs="Times New Roman"/>
                <w:lang w:eastAsia="pl-PL"/>
              </w:rPr>
              <w:t>. decyzja w przedmiocie europejskiego nakazu aresztowania przysługuje wyłącznie sądowi, który</w:t>
            </w:r>
            <w:r w:rsidRPr="00EE236F">
              <w:rPr>
                <w:rFonts w:ascii="Times New Roman" w:eastAsia="Times New Roman" w:hAnsi="Times New Roman" w:cs="Times New Roman"/>
                <w:lang w:eastAsia="pl-PL"/>
              </w:rPr>
              <w:t xml:space="preserve"> zresztą posiada techniczną możliwość dokonania wpisu do SIS (w praktyce za pośrednictwem KSI);</w:t>
            </w:r>
          </w:p>
          <w:p w14:paraId="77A45942" w14:textId="4FF504AD" w:rsidR="00120130" w:rsidRPr="00EE236F" w:rsidRDefault="00120130" w:rsidP="00120130">
            <w:pPr>
              <w:spacing w:after="0" w:line="276" w:lineRule="auto"/>
              <w:jc w:val="both"/>
              <w:rPr>
                <w:rFonts w:ascii="Times New Roman" w:eastAsia="Times New Roman" w:hAnsi="Times New Roman" w:cs="Times New Roman"/>
                <w:lang w:eastAsia="pl-PL"/>
              </w:rPr>
            </w:pPr>
            <w:r w:rsidRPr="00F15F57">
              <w:rPr>
                <w:rFonts w:ascii="Times New Roman" w:eastAsia="Times New Roman" w:hAnsi="Times New Roman" w:cs="Times New Roman"/>
                <w:lang w:eastAsia="pl-PL"/>
              </w:rPr>
              <w:t>2/ jego dostosowanie, a przede wszystkim termin wejścia w życie nowelizacji, musi uwzględniać techniczne możliwości Policji w zakresie dołączenia danych daktyloskopijnych oraz wizerunku do formularza przesłanego przez sąd</w:t>
            </w:r>
          </w:p>
        </w:tc>
        <w:tc>
          <w:tcPr>
            <w:tcW w:w="5128" w:type="dxa"/>
            <w:shd w:val="clear" w:color="auto" w:fill="FFFFFF" w:themeFill="background1"/>
          </w:tcPr>
          <w:p w14:paraId="098341AF" w14:textId="5CAC0902" w:rsidR="00EE236F" w:rsidRDefault="00214A6F"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uzgodniono</w:t>
            </w:r>
            <w:r w:rsidR="00EE236F">
              <w:rPr>
                <w:rFonts w:ascii="Times New Roman" w:eastAsia="Times New Roman" w:hAnsi="Times New Roman" w:cs="Times New Roman"/>
                <w:lang w:eastAsia="pl-PL"/>
              </w:rPr>
              <w:t xml:space="preserve"> w zakresie pkt 1 </w:t>
            </w:r>
          </w:p>
          <w:p w14:paraId="5C62EBFF" w14:textId="3A332F0F" w:rsidR="00847827" w:rsidRPr="00F15F57" w:rsidRDefault="006C3844" w:rsidP="00847827">
            <w:pPr>
              <w:spacing w:after="0" w:line="276" w:lineRule="auto"/>
              <w:jc w:val="both"/>
              <w:rPr>
                <w:rFonts w:ascii="Times New Roman" w:hAnsi="Times New Roman" w:cs="Times New Roman"/>
              </w:rPr>
            </w:pPr>
            <w:r>
              <w:rPr>
                <w:rFonts w:ascii="Times New Roman" w:eastAsia="Times New Roman" w:hAnsi="Times New Roman" w:cs="Times New Roman"/>
                <w:lang w:eastAsia="pl-PL"/>
              </w:rPr>
              <w:t xml:space="preserve">uwagę </w:t>
            </w:r>
            <w:r w:rsidR="00EA4ADC">
              <w:rPr>
                <w:rFonts w:ascii="Times New Roman" w:eastAsia="Times New Roman" w:hAnsi="Times New Roman" w:cs="Times New Roman"/>
                <w:lang w:eastAsia="pl-PL"/>
              </w:rPr>
              <w:t xml:space="preserve">uwzględniono </w:t>
            </w:r>
            <w:r w:rsidR="00EE236F">
              <w:rPr>
                <w:rFonts w:ascii="Times New Roman" w:eastAsia="Times New Roman" w:hAnsi="Times New Roman" w:cs="Times New Roman"/>
                <w:lang w:eastAsia="pl-PL"/>
              </w:rPr>
              <w:t xml:space="preserve">- </w:t>
            </w:r>
            <w:r w:rsidR="00120130" w:rsidRPr="00EE236F">
              <w:rPr>
                <w:rFonts w:ascii="Times New Roman" w:eastAsia="Times New Roman" w:hAnsi="Times New Roman" w:cs="Times New Roman"/>
                <w:lang w:eastAsia="pl-PL"/>
              </w:rPr>
              <w:t xml:space="preserve">poprzez </w:t>
            </w:r>
            <w:r w:rsidR="00120130" w:rsidRPr="00F15F57">
              <w:rPr>
                <w:rFonts w:ascii="Times New Roman" w:eastAsia="Times New Roman" w:hAnsi="Times New Roman" w:cs="Times New Roman"/>
                <w:lang w:eastAsia="pl-PL"/>
              </w:rPr>
              <w:t>wykreślenie prokuratora z uwagi</w:t>
            </w:r>
            <w:r w:rsidR="00120130" w:rsidRPr="00EE236F">
              <w:rPr>
                <w:rFonts w:ascii="Times New Roman" w:eastAsia="Times New Roman" w:hAnsi="Times New Roman" w:cs="Times New Roman"/>
                <w:lang w:eastAsia="pl-PL"/>
              </w:rPr>
              <w:t xml:space="preserve"> na brak korelacji między uprawnieniem decyzyjnym a kategorią wpisu – w konsekwencji upraw</w:t>
            </w:r>
            <w:r w:rsidR="00EA4ADC">
              <w:rPr>
                <w:rFonts w:ascii="Times New Roman" w:eastAsia="Times New Roman" w:hAnsi="Times New Roman" w:cs="Times New Roman"/>
                <w:lang w:eastAsia="pl-PL"/>
              </w:rPr>
              <w:t xml:space="preserve">nienie przysługuje tylko sądowi oraz </w:t>
            </w:r>
            <w:r w:rsidR="00BC021C">
              <w:rPr>
                <w:rFonts w:ascii="Times New Roman" w:hAnsi="Times New Roman" w:cs="Times New Roman"/>
              </w:rPr>
              <w:t>dokonano korekty uzasadnieni</w:t>
            </w:r>
            <w:r w:rsidR="00F15F57">
              <w:rPr>
                <w:rFonts w:ascii="Times New Roman" w:hAnsi="Times New Roman" w:cs="Times New Roman"/>
              </w:rPr>
              <w:t xml:space="preserve">a projektu </w:t>
            </w:r>
            <w:r w:rsidR="00847827">
              <w:rPr>
                <w:rFonts w:ascii="Times New Roman" w:eastAsia="Times New Roman" w:hAnsi="Times New Roman" w:cs="Times New Roman"/>
                <w:lang w:eastAsia="pl-PL"/>
              </w:rPr>
              <w:t>i OSR</w:t>
            </w:r>
          </w:p>
          <w:p w14:paraId="06D8D4CD" w14:textId="77777777" w:rsidR="007814FB" w:rsidRPr="00EE236F" w:rsidRDefault="007814FB" w:rsidP="00E17DE7">
            <w:pPr>
              <w:spacing w:after="0" w:line="276" w:lineRule="auto"/>
              <w:jc w:val="both"/>
              <w:rPr>
                <w:rFonts w:ascii="Times New Roman" w:eastAsia="Times New Roman" w:hAnsi="Times New Roman" w:cs="Times New Roman"/>
                <w:lang w:eastAsia="pl-PL"/>
              </w:rPr>
            </w:pPr>
          </w:p>
          <w:p w14:paraId="5CFDB8D7" w14:textId="77777777" w:rsidR="00295F87" w:rsidRPr="00057FCB" w:rsidRDefault="00F15F57" w:rsidP="00120130">
            <w:pPr>
              <w:spacing w:after="0" w:line="276" w:lineRule="auto"/>
              <w:jc w:val="both"/>
              <w:rPr>
                <w:rFonts w:ascii="Times New Roman" w:eastAsia="Times New Roman" w:hAnsi="Times New Roman" w:cs="Times New Roman"/>
                <w:lang w:eastAsia="pl-PL"/>
              </w:rPr>
            </w:pPr>
            <w:r w:rsidRPr="00057FCB">
              <w:rPr>
                <w:rFonts w:ascii="Times New Roman" w:eastAsia="Times New Roman" w:hAnsi="Times New Roman" w:cs="Times New Roman"/>
                <w:lang w:eastAsia="pl-PL"/>
              </w:rPr>
              <w:t>Ad. pkt 2</w:t>
            </w:r>
          </w:p>
          <w:p w14:paraId="6E6FDCDC" w14:textId="77777777" w:rsidR="00F15F57" w:rsidRPr="00057FCB" w:rsidRDefault="00F15F57" w:rsidP="005A6794">
            <w:pPr>
              <w:spacing w:after="0" w:line="276" w:lineRule="auto"/>
              <w:jc w:val="both"/>
              <w:rPr>
                <w:rFonts w:ascii="Times New Roman" w:eastAsia="Times New Roman" w:hAnsi="Times New Roman" w:cs="Times New Roman"/>
                <w:lang w:eastAsia="pl-PL"/>
              </w:rPr>
            </w:pPr>
            <w:r w:rsidRPr="00057FCB">
              <w:rPr>
                <w:rFonts w:ascii="Times New Roman" w:eastAsia="Times New Roman" w:hAnsi="Times New Roman" w:cs="Times New Roman"/>
                <w:lang w:eastAsia="pl-PL"/>
              </w:rPr>
              <w:t>- termin wejścia w życie znowelizowanej ustawy podyktowany jest wyznaczonym na poziomie UE terminem operacyjnego wdrożenia zmodernizowanego systemu – aktualnie poł</w:t>
            </w:r>
            <w:r w:rsidR="005A6794" w:rsidRPr="00057FCB">
              <w:rPr>
                <w:rFonts w:ascii="Times New Roman" w:eastAsia="Times New Roman" w:hAnsi="Times New Roman" w:cs="Times New Roman"/>
                <w:lang w:eastAsia="pl-PL"/>
              </w:rPr>
              <w:t>owa czerwca 2022 r., a rozporządzenie wiąże niezależnie od krajowych prac dostosowawczych</w:t>
            </w:r>
          </w:p>
          <w:p w14:paraId="6739A3C3" w14:textId="77777777" w:rsidR="00214A6F" w:rsidRDefault="00214A6F" w:rsidP="005A6794">
            <w:pPr>
              <w:spacing w:after="0" w:line="276" w:lineRule="auto"/>
              <w:jc w:val="both"/>
              <w:rPr>
                <w:rFonts w:ascii="Times New Roman" w:eastAsia="Times New Roman" w:hAnsi="Times New Roman" w:cs="Times New Roman"/>
                <w:lang w:eastAsia="pl-PL"/>
              </w:rPr>
            </w:pPr>
          </w:p>
          <w:p w14:paraId="559243F5" w14:textId="6C68799D" w:rsidR="00214A6F" w:rsidRDefault="00214A6F" w:rsidP="005A6794">
            <w:pPr>
              <w:spacing w:after="0" w:line="276" w:lineRule="auto"/>
              <w:jc w:val="both"/>
              <w:rPr>
                <w:rFonts w:ascii="Times New Roman" w:hAnsi="Times New Roman" w:cs="Times New Roman"/>
                <w:b/>
              </w:rPr>
            </w:pPr>
            <w:r>
              <w:rPr>
                <w:rFonts w:ascii="Times New Roman" w:eastAsia="Times New Roman" w:hAnsi="Times New Roman" w:cs="Times New Roman"/>
                <w:lang w:eastAsia="pl-PL"/>
              </w:rPr>
              <w:t xml:space="preserve">W zakresie pkt 2: </w:t>
            </w:r>
            <w:r w:rsidRPr="00214A6F">
              <w:rPr>
                <w:rFonts w:ascii="Times New Roman" w:hAnsi="Times New Roman" w:cs="Times New Roman"/>
                <w:b/>
              </w:rPr>
              <w:t xml:space="preserve"> </w:t>
            </w:r>
          </w:p>
          <w:p w14:paraId="26A7B897" w14:textId="77777777" w:rsidR="008060CB" w:rsidRDefault="008060CB" w:rsidP="005A6794">
            <w:pPr>
              <w:spacing w:after="0" w:line="276" w:lineRule="auto"/>
              <w:jc w:val="both"/>
              <w:rPr>
                <w:rFonts w:ascii="Times New Roman" w:hAnsi="Times New Roman" w:cs="Times New Roman"/>
                <w:b/>
              </w:rPr>
            </w:pPr>
            <w:proofErr w:type="spellStart"/>
            <w:r>
              <w:rPr>
                <w:rFonts w:ascii="Times New Roman" w:hAnsi="Times New Roman" w:cs="Times New Roman"/>
              </w:rPr>
              <w:lastRenderedPageBreak/>
              <w:t>U</w:t>
            </w:r>
            <w:r w:rsidR="00214A6F" w:rsidRPr="00147B22">
              <w:rPr>
                <w:rFonts w:ascii="Times New Roman" w:hAnsi="Times New Roman" w:cs="Times New Roman"/>
              </w:rPr>
              <w:t>wagodawca</w:t>
            </w:r>
            <w:proofErr w:type="spellEnd"/>
            <w:r w:rsidR="00214A6F" w:rsidRPr="00147B22">
              <w:rPr>
                <w:rFonts w:ascii="Times New Roman" w:hAnsi="Times New Roman" w:cs="Times New Roman"/>
              </w:rPr>
              <w:t xml:space="preserve"> zmodyfikował treść uwagi w ten sposób, że </w:t>
            </w:r>
            <w:r w:rsidR="00214A6F" w:rsidRPr="00147B22">
              <w:rPr>
                <w:rFonts w:ascii="Times New Roman" w:eastAsia="Times New Roman" w:hAnsi="Times New Roman" w:cs="Times New Roman"/>
                <w:lang w:eastAsia="pl-PL"/>
              </w:rPr>
              <w:t xml:space="preserve"> ter</w:t>
            </w:r>
            <w:r>
              <w:rPr>
                <w:rFonts w:ascii="Times New Roman" w:eastAsia="Times New Roman" w:hAnsi="Times New Roman" w:cs="Times New Roman"/>
                <w:lang w:eastAsia="pl-PL"/>
              </w:rPr>
              <w:t>min wejścia w życie nowelizacji</w:t>
            </w:r>
            <w:r w:rsidR="00214A6F" w:rsidRPr="00147B22">
              <w:rPr>
                <w:rFonts w:ascii="Times New Roman" w:eastAsia="Times New Roman" w:hAnsi="Times New Roman" w:cs="Times New Roman"/>
                <w:lang w:eastAsia="pl-PL"/>
              </w:rPr>
              <w:t xml:space="preserve"> musi uwzględniać techniczne możliwości COT KSI</w:t>
            </w:r>
            <w:r w:rsidR="00214A6F">
              <w:rPr>
                <w:rFonts w:ascii="Times New Roman" w:eastAsia="Times New Roman" w:hAnsi="Times New Roman" w:cs="Times New Roman"/>
                <w:lang w:eastAsia="pl-PL"/>
              </w:rPr>
              <w:t xml:space="preserve"> i sądu </w:t>
            </w:r>
            <w:r w:rsidR="00214A6F" w:rsidRPr="00F15F57">
              <w:rPr>
                <w:rFonts w:ascii="Times New Roman" w:eastAsia="Times New Roman" w:hAnsi="Times New Roman" w:cs="Times New Roman"/>
                <w:lang w:eastAsia="pl-PL"/>
              </w:rPr>
              <w:t>w zakresie dołączenia danych daktyloskopijnych oraz wizerunku do formularza przesłanego przez sąd</w:t>
            </w:r>
            <w:r>
              <w:rPr>
                <w:rFonts w:ascii="Times New Roman" w:eastAsia="Times New Roman" w:hAnsi="Times New Roman" w:cs="Times New Roman"/>
                <w:lang w:eastAsia="pl-PL"/>
              </w:rPr>
              <w:t>.</w:t>
            </w:r>
            <w:r w:rsidR="00214A6F">
              <w:rPr>
                <w:rFonts w:ascii="Times New Roman" w:hAnsi="Times New Roman" w:cs="Times New Roman"/>
                <w:b/>
              </w:rPr>
              <w:t xml:space="preserve">  </w:t>
            </w:r>
          </w:p>
          <w:p w14:paraId="2CF6A7A2" w14:textId="77777777" w:rsidR="008060CB" w:rsidRDefault="008060CB" w:rsidP="005A6794">
            <w:pPr>
              <w:spacing w:after="0" w:line="276" w:lineRule="auto"/>
              <w:jc w:val="both"/>
              <w:rPr>
                <w:rFonts w:ascii="Times New Roman" w:hAnsi="Times New Roman" w:cs="Times New Roman"/>
                <w:b/>
              </w:rPr>
            </w:pPr>
          </w:p>
          <w:p w14:paraId="294C50A6" w14:textId="6D3B4121" w:rsidR="00214A6F" w:rsidRDefault="00214A6F" w:rsidP="005A6794">
            <w:pPr>
              <w:spacing w:after="0" w:line="276" w:lineRule="auto"/>
              <w:jc w:val="both"/>
              <w:rPr>
                <w:rFonts w:ascii="Times New Roman" w:eastAsia="Times New Roman" w:hAnsi="Times New Roman" w:cs="Times New Roman"/>
                <w:lang w:eastAsia="pl-PL"/>
              </w:rPr>
            </w:pPr>
            <w:r w:rsidRPr="00214A6F">
              <w:rPr>
                <w:rFonts w:ascii="Times New Roman" w:hAnsi="Times New Roman" w:cs="Times New Roman"/>
                <w:b/>
              </w:rPr>
              <w:t xml:space="preserve">Pozycja ujęta </w:t>
            </w:r>
            <w:r w:rsidR="00057FCB">
              <w:rPr>
                <w:rFonts w:ascii="Times New Roman" w:hAnsi="Times New Roman" w:cs="Times New Roman"/>
                <w:b/>
              </w:rPr>
              <w:t xml:space="preserve">częściowo </w:t>
            </w:r>
            <w:r w:rsidRPr="00214A6F">
              <w:rPr>
                <w:rFonts w:ascii="Times New Roman" w:hAnsi="Times New Roman" w:cs="Times New Roman"/>
                <w:b/>
              </w:rPr>
              <w:t>w protokole rozbieżności z uwagi na brak uzgodnienia podczas konferencji uzgodnieniowej.</w:t>
            </w:r>
          </w:p>
          <w:p w14:paraId="0520C9B5" w14:textId="4176322E" w:rsidR="005A6794" w:rsidRPr="00EE236F" w:rsidRDefault="005A6794" w:rsidP="005A6794">
            <w:pPr>
              <w:spacing w:after="0" w:line="276" w:lineRule="auto"/>
              <w:jc w:val="both"/>
              <w:rPr>
                <w:rFonts w:ascii="Times New Roman" w:eastAsia="Times New Roman" w:hAnsi="Times New Roman" w:cs="Times New Roman"/>
                <w:lang w:eastAsia="pl-PL"/>
              </w:rPr>
            </w:pPr>
          </w:p>
        </w:tc>
      </w:tr>
      <w:tr w:rsidR="00120130" w:rsidRPr="00C2454A" w14:paraId="00915277" w14:textId="77777777" w:rsidTr="003A3812">
        <w:tc>
          <w:tcPr>
            <w:tcW w:w="562" w:type="dxa"/>
            <w:shd w:val="clear" w:color="auto" w:fill="auto"/>
            <w:vAlign w:val="center"/>
          </w:tcPr>
          <w:p w14:paraId="36635EFC" w14:textId="0CA8FA22" w:rsidR="00120130" w:rsidRPr="00C2454A"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auto"/>
            <w:vAlign w:val="center"/>
          </w:tcPr>
          <w:p w14:paraId="1D3FA784" w14:textId="1FF6424D"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auto"/>
            <w:vAlign w:val="center"/>
          </w:tcPr>
          <w:p w14:paraId="2E0A2EBF" w14:textId="0DE5285D"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art. 3 ust. 1 pkt 3</w:t>
            </w:r>
          </w:p>
        </w:tc>
        <w:tc>
          <w:tcPr>
            <w:tcW w:w="6897" w:type="dxa"/>
            <w:shd w:val="clear" w:color="auto" w:fill="auto"/>
          </w:tcPr>
          <w:p w14:paraId="4764AE88" w14:textId="77777777" w:rsidR="00120130" w:rsidRPr="00C2454A" w:rsidRDefault="00120130" w:rsidP="00120130">
            <w:pPr>
              <w:spacing w:after="0" w:line="276" w:lineRule="auto"/>
              <w:jc w:val="both"/>
              <w:rPr>
                <w:rFonts w:ascii="Times New Roman" w:eastAsia="Times New Roman" w:hAnsi="Times New Roman" w:cs="Times New Roman"/>
                <w:u w:val="single"/>
                <w:lang w:eastAsia="pl-PL"/>
              </w:rPr>
            </w:pPr>
            <w:r w:rsidRPr="00C2454A">
              <w:rPr>
                <w:rFonts w:ascii="Times New Roman" w:eastAsia="Times New Roman" w:hAnsi="Times New Roman" w:cs="Times New Roman"/>
                <w:lang w:eastAsia="pl-PL"/>
              </w:rPr>
              <w:t xml:space="preserve">- </w:t>
            </w:r>
            <w:r w:rsidRPr="00971D75">
              <w:rPr>
                <w:rFonts w:ascii="Times New Roman" w:eastAsia="Times New Roman" w:hAnsi="Times New Roman" w:cs="Times New Roman"/>
                <w:lang w:eastAsia="pl-PL"/>
              </w:rPr>
              <w:t>nadmiernie kazuistyczna redakcja przepisu - uprawnienia sądu i prokuratora do wzywania osób do stawienia</w:t>
            </w:r>
            <w:r w:rsidRPr="00C2454A">
              <w:rPr>
                <w:rFonts w:ascii="Times New Roman" w:eastAsia="Times New Roman" w:hAnsi="Times New Roman" w:cs="Times New Roman"/>
                <w:lang w:eastAsia="pl-PL"/>
              </w:rPr>
              <w:t xml:space="preserve"> się przed nimi w związku z prowadzonym postępowaniem karnym </w:t>
            </w:r>
            <w:r w:rsidRPr="00C2454A">
              <w:rPr>
                <w:rFonts w:ascii="Times New Roman" w:eastAsia="Times New Roman" w:hAnsi="Times New Roman" w:cs="Times New Roman"/>
                <w:u w:val="single"/>
                <w:lang w:eastAsia="pl-PL"/>
              </w:rPr>
              <w:t>są uregulowane w przepisach odrębnych</w:t>
            </w:r>
          </w:p>
          <w:p w14:paraId="7C886C72" w14:textId="77777777" w:rsidR="00120130" w:rsidRPr="00C2454A" w:rsidRDefault="00120130" w:rsidP="00120130">
            <w:pPr>
              <w:spacing w:after="0" w:line="276" w:lineRule="auto"/>
              <w:jc w:val="both"/>
              <w:rPr>
                <w:rFonts w:ascii="Times New Roman" w:eastAsia="Times New Roman" w:hAnsi="Times New Roman" w:cs="Times New Roman"/>
                <w:u w:val="single"/>
                <w:lang w:eastAsia="pl-PL"/>
              </w:rPr>
            </w:pPr>
          </w:p>
          <w:p w14:paraId="4672BBEC" w14:textId="77777777" w:rsidR="00120130" w:rsidRPr="00547F29" w:rsidRDefault="00120130" w:rsidP="00120130">
            <w:pPr>
              <w:spacing w:after="0" w:line="276" w:lineRule="auto"/>
              <w:jc w:val="both"/>
              <w:rPr>
                <w:rFonts w:ascii="Times New Roman" w:eastAsia="Times New Roman" w:hAnsi="Times New Roman" w:cs="Times New Roman"/>
                <w:lang w:eastAsia="pl-PL"/>
              </w:rPr>
            </w:pPr>
            <w:r w:rsidRPr="00547F29">
              <w:rPr>
                <w:rFonts w:ascii="Times New Roman" w:eastAsia="Times New Roman" w:hAnsi="Times New Roman" w:cs="Times New Roman"/>
                <w:lang w:eastAsia="pl-PL"/>
              </w:rPr>
              <w:t>Propozycja zmiany zapisu:</w:t>
            </w:r>
          </w:p>
          <w:p w14:paraId="57B02D47" w14:textId="57026D0C"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„osób wezwanych do stawiennictwa przed sądem lub prokuratorem w związku z postępowaniem karnym lub osób poszukiwanych w celu wezwania do takiego stawiennictwa, osób, którym ma zostać doręczony wyrok w sprawie karnej lub inne dokumenty związane z postępowaniem karnym, oraz osób, którym ma zostać doręczone wezwanie do stawienia się w celu odbycia kary pozbawienia wolności – o ile wezwanie do stawienia się w celu odbycia kary nie mieściłoby się w pojęciu „innych dokumentów” – dla ustalenia miejsca ich pobytu przysługuje sądowi lub prokuraturze;”.</w:t>
            </w:r>
          </w:p>
        </w:tc>
        <w:tc>
          <w:tcPr>
            <w:tcW w:w="5128" w:type="dxa"/>
            <w:shd w:val="clear" w:color="auto" w:fill="auto"/>
          </w:tcPr>
          <w:p w14:paraId="2AEA92A7" w14:textId="6C743A90" w:rsidR="00EB2FF9" w:rsidRDefault="00971D75"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uwagi </w:t>
            </w:r>
            <w:r w:rsidRPr="00EB2FF9">
              <w:rPr>
                <w:rFonts w:ascii="Times New Roman" w:eastAsia="Times New Roman" w:hAnsi="Times New Roman" w:cs="Times New Roman"/>
                <w:lang w:eastAsia="pl-PL"/>
              </w:rPr>
              <w:t>nie uwzględniono</w:t>
            </w:r>
          </w:p>
          <w:p w14:paraId="2059DFEA" w14:textId="0408E50B" w:rsidR="00120130" w:rsidRPr="00147B22" w:rsidRDefault="00120130"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Pr="00147B22">
              <w:rPr>
                <w:rFonts w:ascii="Times New Roman" w:eastAsia="Times New Roman" w:hAnsi="Times New Roman" w:cs="Times New Roman"/>
                <w:lang w:eastAsia="pl-PL"/>
              </w:rPr>
              <w:t xml:space="preserve">redakcja tego przepisu odzwierciedla </w:t>
            </w:r>
            <w:r w:rsidR="00A82743" w:rsidRPr="00147B22">
              <w:rPr>
                <w:rFonts w:ascii="Times New Roman" w:eastAsia="Times New Roman" w:hAnsi="Times New Roman" w:cs="Times New Roman"/>
                <w:lang w:eastAsia="pl-PL"/>
              </w:rPr>
              <w:t>treść</w:t>
            </w:r>
            <w:r w:rsidRPr="00147B22">
              <w:rPr>
                <w:rFonts w:ascii="Times New Roman" w:eastAsia="Times New Roman" w:hAnsi="Times New Roman" w:cs="Times New Roman"/>
                <w:lang w:eastAsia="pl-PL"/>
              </w:rPr>
              <w:t xml:space="preserve"> art. 34 ust. 1 </w:t>
            </w:r>
            <w:proofErr w:type="spellStart"/>
            <w:r w:rsidRPr="00147B22">
              <w:rPr>
                <w:rFonts w:ascii="Times New Roman" w:eastAsia="Times New Roman" w:hAnsi="Times New Roman" w:cs="Times New Roman"/>
                <w:lang w:eastAsia="pl-PL"/>
              </w:rPr>
              <w:t>rozp</w:t>
            </w:r>
            <w:proofErr w:type="spellEnd"/>
            <w:r w:rsidRPr="00147B22">
              <w:rPr>
                <w:rFonts w:ascii="Times New Roman" w:eastAsia="Times New Roman" w:hAnsi="Times New Roman" w:cs="Times New Roman"/>
                <w:lang w:eastAsia="pl-PL"/>
              </w:rPr>
              <w:t>. 2018/1862 w zakresie kategorii wpisów w SIS ujętych pod lit. a-d;</w:t>
            </w:r>
          </w:p>
          <w:p w14:paraId="35E33454" w14:textId="78AB8DFE" w:rsidR="00120130" w:rsidRPr="00147B22" w:rsidRDefault="00120130" w:rsidP="00D7015C">
            <w:pPr>
              <w:spacing w:after="0" w:line="276" w:lineRule="auto"/>
              <w:jc w:val="both"/>
              <w:rPr>
                <w:rFonts w:ascii="Times New Roman" w:eastAsia="Times New Roman" w:hAnsi="Times New Roman" w:cs="Times New Roman"/>
                <w:lang w:eastAsia="pl-PL"/>
              </w:rPr>
            </w:pPr>
            <w:r w:rsidRPr="00147B22">
              <w:rPr>
                <w:rFonts w:ascii="Times New Roman" w:eastAsia="Times New Roman" w:hAnsi="Times New Roman" w:cs="Times New Roman"/>
                <w:lang w:eastAsia="pl-PL"/>
              </w:rPr>
              <w:t>2/ regulac</w:t>
            </w:r>
            <w:r w:rsidR="004F2F87" w:rsidRPr="00147B22">
              <w:rPr>
                <w:rFonts w:ascii="Times New Roman" w:eastAsia="Times New Roman" w:hAnsi="Times New Roman" w:cs="Times New Roman"/>
                <w:lang w:eastAsia="pl-PL"/>
              </w:rPr>
              <w:t xml:space="preserve">ja uprawnień sądu i prokuratora do wzywania osób </w:t>
            </w:r>
            <w:r w:rsidR="00D7015C" w:rsidRPr="00147B22">
              <w:rPr>
                <w:rFonts w:ascii="Times New Roman" w:eastAsia="Times New Roman" w:hAnsi="Times New Roman" w:cs="Times New Roman"/>
                <w:lang w:eastAsia="pl-PL"/>
              </w:rPr>
              <w:t xml:space="preserve">do stawienia się przed nimi </w:t>
            </w:r>
            <w:r w:rsidRPr="00147B22">
              <w:rPr>
                <w:rFonts w:ascii="Times New Roman" w:eastAsia="Times New Roman" w:hAnsi="Times New Roman" w:cs="Times New Roman"/>
                <w:lang w:eastAsia="pl-PL"/>
              </w:rPr>
              <w:t>w przepisach o</w:t>
            </w:r>
            <w:r w:rsidR="004F2F87" w:rsidRPr="00147B22">
              <w:rPr>
                <w:rFonts w:ascii="Times New Roman" w:eastAsia="Times New Roman" w:hAnsi="Times New Roman" w:cs="Times New Roman"/>
                <w:lang w:eastAsia="pl-PL"/>
              </w:rPr>
              <w:t xml:space="preserve">drębnych </w:t>
            </w:r>
            <w:r w:rsidR="00A82743" w:rsidRPr="00147B22">
              <w:rPr>
                <w:rFonts w:ascii="Times New Roman" w:eastAsia="Times New Roman" w:hAnsi="Times New Roman" w:cs="Times New Roman"/>
                <w:lang w:eastAsia="pl-PL"/>
              </w:rPr>
              <w:t>nie jest tożsama</w:t>
            </w:r>
            <w:r w:rsidR="00AB57CF" w:rsidRPr="00147B22">
              <w:rPr>
                <w:rFonts w:ascii="Times New Roman" w:eastAsia="Times New Roman" w:hAnsi="Times New Roman" w:cs="Times New Roman"/>
                <w:lang w:eastAsia="pl-PL"/>
              </w:rPr>
              <w:t>, tzn. nie</w:t>
            </w:r>
            <w:r w:rsidR="00A82743" w:rsidRPr="00147B22">
              <w:rPr>
                <w:rFonts w:ascii="Times New Roman" w:eastAsia="Times New Roman" w:hAnsi="Times New Roman" w:cs="Times New Roman"/>
                <w:lang w:eastAsia="pl-PL"/>
              </w:rPr>
              <w:t xml:space="preserve"> ogranicza</w:t>
            </w:r>
            <w:r w:rsidR="00AB57CF" w:rsidRPr="00147B22">
              <w:rPr>
                <w:rFonts w:ascii="Times New Roman" w:eastAsia="Times New Roman" w:hAnsi="Times New Roman" w:cs="Times New Roman"/>
                <w:lang w:eastAsia="pl-PL"/>
              </w:rPr>
              <w:t xml:space="preserve"> się do kategorii świadków i zobowiązanych do składania wyjaśnień we własnej sprawie, bo </w:t>
            </w:r>
            <w:r w:rsidR="00A82743" w:rsidRPr="00147B22">
              <w:rPr>
                <w:rFonts w:ascii="Times New Roman" w:eastAsia="Times New Roman" w:hAnsi="Times New Roman" w:cs="Times New Roman"/>
                <w:lang w:eastAsia="pl-PL"/>
              </w:rPr>
              <w:t>obejmuje też</w:t>
            </w:r>
            <w:r w:rsidR="00AB57CF" w:rsidRPr="00147B22">
              <w:rPr>
                <w:rFonts w:ascii="Times New Roman" w:eastAsia="Times New Roman" w:hAnsi="Times New Roman" w:cs="Times New Roman"/>
                <w:lang w:eastAsia="pl-PL"/>
              </w:rPr>
              <w:t xml:space="preserve"> </w:t>
            </w:r>
            <w:r w:rsidR="00D7015C" w:rsidRPr="00147B22">
              <w:rPr>
                <w:rFonts w:ascii="Times New Roman" w:eastAsia="Times New Roman" w:hAnsi="Times New Roman" w:cs="Times New Roman"/>
                <w:lang w:eastAsia="pl-PL"/>
              </w:rPr>
              <w:t xml:space="preserve">wg § 72 </w:t>
            </w:r>
            <w:proofErr w:type="spellStart"/>
            <w:r w:rsidR="00D7015C" w:rsidRPr="00147B22">
              <w:rPr>
                <w:rFonts w:ascii="Times New Roman" w:eastAsia="Times New Roman" w:hAnsi="Times New Roman" w:cs="Times New Roman"/>
                <w:lang w:eastAsia="pl-PL"/>
              </w:rPr>
              <w:t>kpk</w:t>
            </w:r>
            <w:proofErr w:type="spellEnd"/>
            <w:r w:rsidR="00D7015C" w:rsidRPr="00147B22">
              <w:rPr>
                <w:rFonts w:ascii="Times New Roman" w:eastAsia="Times New Roman" w:hAnsi="Times New Roman" w:cs="Times New Roman"/>
                <w:lang w:eastAsia="pl-PL"/>
              </w:rPr>
              <w:t xml:space="preserve"> tłumacza, którego „należy wezwać do czynności z udziałem oskarżonego, o którym mowa w § 1.”(wg § 1 oskarżony ma prawo do korzystania z bezpłatnej pomocy tłumacza, jeżeli nie włada w wystarczającym stopniu językiem polskim); wg § 15 ust. 3 </w:t>
            </w:r>
            <w:proofErr w:type="spellStart"/>
            <w:r w:rsidR="00D7015C" w:rsidRPr="00147B22">
              <w:rPr>
                <w:rFonts w:ascii="Times New Roman" w:eastAsia="Times New Roman" w:hAnsi="Times New Roman" w:cs="Times New Roman"/>
                <w:lang w:eastAsia="pl-PL"/>
              </w:rPr>
              <w:t>kpk</w:t>
            </w:r>
            <w:proofErr w:type="spellEnd"/>
            <w:r w:rsidR="00D7015C" w:rsidRPr="00147B22">
              <w:rPr>
                <w:rFonts w:ascii="Times New Roman" w:eastAsia="Times New Roman" w:hAnsi="Times New Roman" w:cs="Times New Roman"/>
                <w:lang w:eastAsia="pl-PL"/>
              </w:rPr>
              <w:t xml:space="preserve"> </w:t>
            </w:r>
            <w:r w:rsidR="00EB2FF9" w:rsidRPr="00147B22">
              <w:rPr>
                <w:rFonts w:ascii="Times New Roman" w:eastAsia="Times New Roman" w:hAnsi="Times New Roman" w:cs="Times New Roman"/>
                <w:lang w:eastAsia="pl-PL"/>
              </w:rPr>
              <w:t>„</w:t>
            </w:r>
            <w:r w:rsidR="004F2F87" w:rsidRPr="00147B22">
              <w:rPr>
                <w:rFonts w:ascii="Times New Roman" w:eastAsia="Times New Roman" w:hAnsi="Times New Roman" w:cs="Times New Roman"/>
                <w:lang w:eastAsia="pl-PL"/>
              </w:rPr>
              <w:t>os</w:t>
            </w:r>
            <w:r w:rsidR="00D7015C" w:rsidRPr="00147B22">
              <w:rPr>
                <w:rFonts w:ascii="Times New Roman" w:eastAsia="Times New Roman" w:hAnsi="Times New Roman" w:cs="Times New Roman"/>
                <w:lang w:eastAsia="pl-PL"/>
              </w:rPr>
              <w:t>obę</w:t>
            </w:r>
            <w:r w:rsidR="004F2F87" w:rsidRPr="00147B22">
              <w:rPr>
                <w:rFonts w:ascii="Times New Roman" w:eastAsia="Times New Roman" w:hAnsi="Times New Roman" w:cs="Times New Roman"/>
                <w:lang w:eastAsia="pl-PL"/>
              </w:rPr>
              <w:t xml:space="preserve"> fizyczn</w:t>
            </w:r>
            <w:r w:rsidR="00D7015C" w:rsidRPr="00147B22">
              <w:rPr>
                <w:rFonts w:ascii="Times New Roman" w:eastAsia="Times New Roman" w:hAnsi="Times New Roman" w:cs="Times New Roman"/>
                <w:lang w:eastAsia="pl-PL"/>
              </w:rPr>
              <w:t>ą</w:t>
            </w:r>
            <w:r w:rsidR="00080A2E" w:rsidRPr="00147B22">
              <w:rPr>
                <w:rFonts w:ascii="Times New Roman" w:eastAsia="Times New Roman" w:hAnsi="Times New Roman" w:cs="Times New Roman"/>
                <w:lang w:eastAsia="pl-PL"/>
              </w:rPr>
              <w:t>, która</w:t>
            </w:r>
            <w:r w:rsidR="00D7015C" w:rsidRPr="00147B22">
              <w:rPr>
                <w:rFonts w:ascii="Times New Roman" w:eastAsia="Times New Roman" w:hAnsi="Times New Roman" w:cs="Times New Roman"/>
                <w:lang w:eastAsia="pl-PL"/>
              </w:rPr>
              <w:t xml:space="preserve"> </w:t>
            </w:r>
            <w:r w:rsidR="004F2F87" w:rsidRPr="00147B22">
              <w:rPr>
                <w:rFonts w:ascii="Times New Roman" w:eastAsia="Times New Roman" w:hAnsi="Times New Roman" w:cs="Times New Roman"/>
                <w:lang w:eastAsia="pl-PL"/>
              </w:rPr>
              <w:t xml:space="preserve">na wezwanie organów </w:t>
            </w:r>
            <w:r w:rsidR="00080A2E" w:rsidRPr="00147B22">
              <w:rPr>
                <w:rFonts w:ascii="Times New Roman" w:eastAsia="Times New Roman" w:hAnsi="Times New Roman" w:cs="Times New Roman"/>
                <w:lang w:eastAsia="pl-PL"/>
              </w:rPr>
              <w:t xml:space="preserve">prowadzących postępowanie karne jest obowiązana do udzielenia pomocy </w:t>
            </w:r>
            <w:r w:rsidR="004F2F87" w:rsidRPr="00147B22">
              <w:rPr>
                <w:rFonts w:ascii="Times New Roman" w:eastAsia="Times New Roman" w:hAnsi="Times New Roman" w:cs="Times New Roman"/>
                <w:lang w:eastAsia="pl-PL"/>
              </w:rPr>
              <w:t>w zakresie i w terminie przez nie wyznaczonym, jeżeli bez tej pomocy przeprowadzenie czynności procesowej jest</w:t>
            </w:r>
            <w:r w:rsidR="00AB57CF" w:rsidRPr="00147B22">
              <w:rPr>
                <w:rFonts w:ascii="Times New Roman" w:eastAsia="Times New Roman" w:hAnsi="Times New Roman" w:cs="Times New Roman"/>
                <w:lang w:eastAsia="pl-PL"/>
              </w:rPr>
              <w:t xml:space="preserve"> niemożliwe albo znacznie utrudnione.</w:t>
            </w:r>
            <w:r w:rsidR="00A82743" w:rsidRPr="00147B22">
              <w:rPr>
                <w:rFonts w:ascii="Times New Roman" w:eastAsia="Times New Roman" w:hAnsi="Times New Roman" w:cs="Times New Roman"/>
                <w:lang w:eastAsia="pl-PL"/>
              </w:rPr>
              <w:t>”</w:t>
            </w:r>
          </w:p>
          <w:p w14:paraId="61F48A67" w14:textId="77777777" w:rsidR="00120130" w:rsidRDefault="00120130" w:rsidP="00120130">
            <w:pPr>
              <w:spacing w:after="0" w:line="276" w:lineRule="auto"/>
              <w:jc w:val="both"/>
              <w:rPr>
                <w:rFonts w:ascii="Times New Roman" w:hAnsi="Times New Roman" w:cs="Times New Roman"/>
              </w:rPr>
            </w:pPr>
            <w:r w:rsidRPr="00147B22">
              <w:rPr>
                <w:rFonts w:ascii="Times New Roman" w:eastAsia="Times New Roman" w:hAnsi="Times New Roman" w:cs="Times New Roman"/>
                <w:lang w:eastAsia="pl-PL"/>
              </w:rPr>
              <w:lastRenderedPageBreak/>
              <w:t xml:space="preserve">3/ </w:t>
            </w:r>
            <w:r w:rsidRPr="00147B22">
              <w:rPr>
                <w:rFonts w:ascii="Times New Roman" w:hAnsi="Times New Roman" w:cs="Times New Roman"/>
              </w:rPr>
              <w:t>nadto, wg uwagi przepis należy uzupełnić</w:t>
            </w:r>
            <w:r w:rsidRPr="007E7F9B">
              <w:rPr>
                <w:rFonts w:ascii="Times New Roman" w:hAnsi="Times New Roman" w:cs="Times New Roman"/>
              </w:rPr>
              <w:t xml:space="preserve"> o: "-o ile wezwanie do stawienia się w celu odbycia kary nie mieściłoby się w pojęciu "innych dokumentów" – podczas gdy ww. zastrzeżenie można by odnieść także do wezwania do stawiennictwa i wyroku, brak zatem podstaw</w:t>
            </w:r>
            <w:r w:rsidR="007E7F9B" w:rsidRPr="007E7F9B">
              <w:rPr>
                <w:rFonts w:ascii="Times New Roman" w:hAnsi="Times New Roman" w:cs="Times New Roman"/>
              </w:rPr>
              <w:t>,</w:t>
            </w:r>
            <w:r w:rsidRPr="007E7F9B">
              <w:rPr>
                <w:rFonts w:ascii="Times New Roman" w:hAnsi="Times New Roman" w:cs="Times New Roman"/>
              </w:rPr>
              <w:t xml:space="preserve"> by odnosić je tylko do wezwania w celu odbycia kary pozbawienia wolności.</w:t>
            </w:r>
          </w:p>
          <w:p w14:paraId="7D6E6F00" w14:textId="77777777" w:rsidR="00214A6F" w:rsidRDefault="00214A6F" w:rsidP="00120130">
            <w:pPr>
              <w:spacing w:after="0" w:line="276" w:lineRule="auto"/>
              <w:jc w:val="both"/>
              <w:rPr>
                <w:rFonts w:ascii="Times New Roman" w:hAnsi="Times New Roman" w:cs="Times New Roman"/>
              </w:rPr>
            </w:pPr>
          </w:p>
          <w:p w14:paraId="6D26B241" w14:textId="59A5D704" w:rsidR="00214A6F" w:rsidRPr="00214A6F" w:rsidRDefault="00214A6F" w:rsidP="00214A6F">
            <w:pPr>
              <w:spacing w:after="0" w:line="276" w:lineRule="auto"/>
              <w:jc w:val="both"/>
              <w:rPr>
                <w:rFonts w:ascii="Times New Roman" w:eastAsia="Times New Roman" w:hAnsi="Times New Roman" w:cs="Times New Roman"/>
                <w:b/>
                <w:lang w:eastAsia="pl-PL"/>
              </w:rPr>
            </w:pPr>
            <w:r w:rsidRPr="00214A6F">
              <w:rPr>
                <w:rFonts w:ascii="Times New Roman" w:hAnsi="Times New Roman" w:cs="Times New Roman"/>
                <w:b/>
              </w:rPr>
              <w:t>Pozycja ujęta w protokole rozbieżności z uwagi na brak uzgodnienia podczas konferencji uzgodnieniowej.</w:t>
            </w:r>
          </w:p>
        </w:tc>
      </w:tr>
      <w:tr w:rsidR="00120130" w:rsidRPr="00C2454A" w14:paraId="389F7DE1" w14:textId="77777777" w:rsidTr="00EB2FF9">
        <w:tc>
          <w:tcPr>
            <w:tcW w:w="562" w:type="dxa"/>
            <w:shd w:val="clear" w:color="auto" w:fill="FFFFFF" w:themeFill="background1"/>
            <w:vAlign w:val="center"/>
          </w:tcPr>
          <w:p w14:paraId="70844F1F" w14:textId="685B5780" w:rsidR="00120130" w:rsidRPr="00C2454A"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1EDC3939" w14:textId="455A3B45"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FFFFFF" w:themeFill="background1"/>
            <w:vAlign w:val="center"/>
          </w:tcPr>
          <w:p w14:paraId="018BF4FC" w14:textId="2A6952F9"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uzasadnienie projektu</w:t>
            </w:r>
          </w:p>
        </w:tc>
        <w:tc>
          <w:tcPr>
            <w:tcW w:w="6897" w:type="dxa"/>
            <w:shd w:val="clear" w:color="auto" w:fill="FFFFFF" w:themeFill="background1"/>
          </w:tcPr>
          <w:p w14:paraId="4CF1423D" w14:textId="2579C0EF" w:rsidR="00120130" w:rsidRPr="004101C0" w:rsidRDefault="00120130" w:rsidP="00120130">
            <w:pPr>
              <w:spacing w:after="0" w:line="276" w:lineRule="auto"/>
              <w:jc w:val="both"/>
              <w:rPr>
                <w:rFonts w:ascii="Times New Roman" w:eastAsia="Times New Roman" w:hAnsi="Times New Roman" w:cs="Times New Roman"/>
                <w:lang w:eastAsia="pl-PL"/>
              </w:rPr>
            </w:pPr>
            <w:r w:rsidRPr="004101C0">
              <w:rPr>
                <w:rFonts w:ascii="Times New Roman" w:eastAsia="Times New Roman" w:hAnsi="Times New Roman" w:cs="Times New Roman"/>
                <w:lang w:eastAsia="pl-PL"/>
              </w:rPr>
              <w:t>sugestia zmiany treści – wg propozycji</w:t>
            </w:r>
          </w:p>
          <w:p w14:paraId="05A25128" w14:textId="77777777" w:rsidR="00120130" w:rsidRPr="004101C0" w:rsidRDefault="00120130" w:rsidP="00120130">
            <w:pPr>
              <w:spacing w:after="0" w:line="276" w:lineRule="auto"/>
              <w:jc w:val="both"/>
              <w:rPr>
                <w:rFonts w:ascii="Times New Roman" w:eastAsia="Times New Roman" w:hAnsi="Times New Roman" w:cs="Times New Roman"/>
                <w:lang w:eastAsia="pl-PL"/>
              </w:rPr>
            </w:pPr>
          </w:p>
          <w:p w14:paraId="2ED834B8" w14:textId="77777777" w:rsidR="00120130" w:rsidRPr="004101C0" w:rsidRDefault="00120130" w:rsidP="00120130">
            <w:pPr>
              <w:spacing w:after="0" w:line="276" w:lineRule="auto"/>
              <w:jc w:val="both"/>
              <w:rPr>
                <w:rFonts w:ascii="Times New Roman" w:eastAsia="Times New Roman" w:hAnsi="Times New Roman" w:cs="Times New Roman"/>
                <w:lang w:eastAsia="pl-PL"/>
              </w:rPr>
            </w:pPr>
            <w:r w:rsidRPr="004101C0">
              <w:rPr>
                <w:rFonts w:ascii="Times New Roman" w:eastAsia="Times New Roman" w:hAnsi="Times New Roman" w:cs="Times New Roman"/>
                <w:lang w:eastAsia="pl-PL"/>
              </w:rPr>
              <w:t>Propozycja zmiany zapisu:</w:t>
            </w:r>
          </w:p>
          <w:p w14:paraId="6CA1CBA0" w14:textId="692DC430" w:rsidR="00120130" w:rsidRPr="00EB2FF9" w:rsidRDefault="00120130" w:rsidP="00120130">
            <w:pPr>
              <w:spacing w:after="0" w:line="276" w:lineRule="auto"/>
              <w:jc w:val="both"/>
              <w:rPr>
                <w:rFonts w:ascii="Times New Roman" w:eastAsia="Times New Roman" w:hAnsi="Times New Roman" w:cs="Times New Roman"/>
                <w:lang w:eastAsia="pl-PL"/>
              </w:rPr>
            </w:pPr>
            <w:r w:rsidRPr="004101C0">
              <w:rPr>
                <w:rFonts w:ascii="Times New Roman" w:eastAsia="Times New Roman" w:hAnsi="Times New Roman" w:cs="Times New Roman"/>
                <w:lang w:eastAsia="pl-PL"/>
              </w:rPr>
              <w:t xml:space="preserve">„Strefa </w:t>
            </w:r>
            <w:proofErr w:type="spellStart"/>
            <w:r w:rsidRPr="004101C0">
              <w:rPr>
                <w:rFonts w:ascii="Times New Roman" w:eastAsia="Times New Roman" w:hAnsi="Times New Roman" w:cs="Times New Roman"/>
                <w:lang w:eastAsia="pl-PL"/>
              </w:rPr>
              <w:t>Schengen</w:t>
            </w:r>
            <w:proofErr w:type="spellEnd"/>
            <w:r w:rsidRPr="004101C0">
              <w:rPr>
                <w:rFonts w:ascii="Times New Roman" w:eastAsia="Times New Roman" w:hAnsi="Times New Roman" w:cs="Times New Roman"/>
                <w:lang w:eastAsia="pl-PL"/>
              </w:rPr>
              <w:t xml:space="preserve">, czyli obszar UE, na którym zniesiono wewnętrzne kontrole graniczne, powstała w 1995 </w:t>
            </w:r>
            <w:r w:rsidRPr="00EB2FF9">
              <w:rPr>
                <w:rFonts w:ascii="Times New Roman" w:eastAsia="Times New Roman" w:hAnsi="Times New Roman" w:cs="Times New Roman"/>
                <w:lang w:eastAsia="pl-PL"/>
              </w:rPr>
              <w:t xml:space="preserve">roku. Obecnie (2021) strefa </w:t>
            </w:r>
            <w:proofErr w:type="spellStart"/>
            <w:r w:rsidRPr="00EB2FF9">
              <w:rPr>
                <w:rFonts w:ascii="Times New Roman" w:eastAsia="Times New Roman" w:hAnsi="Times New Roman" w:cs="Times New Roman"/>
                <w:lang w:eastAsia="pl-PL"/>
              </w:rPr>
              <w:t>Schengen</w:t>
            </w:r>
            <w:proofErr w:type="spellEnd"/>
            <w:r w:rsidRPr="00EB2FF9">
              <w:rPr>
                <w:rFonts w:ascii="Times New Roman" w:eastAsia="Times New Roman" w:hAnsi="Times New Roman" w:cs="Times New Roman"/>
                <w:lang w:eastAsia="pl-PL"/>
              </w:rPr>
              <w:t xml:space="preserve"> obejmuje 25 państw UE – z wyjątkiem Irlandii, która utrzymuje w mocy klauzulę </w:t>
            </w:r>
            <w:proofErr w:type="spellStart"/>
            <w:r w:rsidRPr="00E927EF">
              <w:rPr>
                <w:rFonts w:ascii="Times New Roman" w:eastAsia="Times New Roman" w:hAnsi="Times New Roman" w:cs="Times New Roman"/>
                <w:lang w:eastAsia="pl-PL"/>
              </w:rPr>
              <w:t>optout</w:t>
            </w:r>
            <w:proofErr w:type="spellEnd"/>
            <w:r w:rsidRPr="00E927EF">
              <w:rPr>
                <w:rFonts w:ascii="Times New Roman" w:eastAsia="Times New Roman" w:hAnsi="Times New Roman" w:cs="Times New Roman"/>
                <w:lang w:eastAsia="pl-PL"/>
              </w:rPr>
              <w:t xml:space="preserve"> i zarządza własną wspólną strefą podróżowania, a także Bułgarii, Chorwacji, Cypru i Rumunii, które są zobowiązane do przystąpienia do strefy </w:t>
            </w:r>
            <w:proofErr w:type="spellStart"/>
            <w:r w:rsidRPr="00E927EF">
              <w:rPr>
                <w:rFonts w:ascii="Times New Roman" w:eastAsia="Times New Roman" w:hAnsi="Times New Roman" w:cs="Times New Roman"/>
                <w:lang w:eastAsia="pl-PL"/>
              </w:rPr>
              <w:t>Schengen</w:t>
            </w:r>
            <w:proofErr w:type="spellEnd"/>
            <w:r w:rsidRPr="00E927EF">
              <w:rPr>
                <w:rFonts w:ascii="Times New Roman" w:eastAsia="Times New Roman" w:hAnsi="Times New Roman" w:cs="Times New Roman"/>
                <w:lang w:eastAsia="pl-PL"/>
              </w:rPr>
              <w:t>.”</w:t>
            </w:r>
          </w:p>
          <w:p w14:paraId="160DB5A9" w14:textId="77777777" w:rsidR="00120130" w:rsidRPr="00EB2FF9" w:rsidRDefault="00120130" w:rsidP="00120130">
            <w:pPr>
              <w:spacing w:after="0" w:line="276" w:lineRule="auto"/>
              <w:jc w:val="both"/>
              <w:rPr>
                <w:rFonts w:ascii="Times New Roman" w:eastAsia="Times New Roman" w:hAnsi="Times New Roman" w:cs="Times New Roman"/>
                <w:lang w:eastAsia="pl-PL"/>
              </w:rPr>
            </w:pPr>
            <w:r w:rsidRPr="00EB2FF9">
              <w:rPr>
                <w:rFonts w:ascii="Times New Roman" w:eastAsia="Times New Roman" w:hAnsi="Times New Roman" w:cs="Times New Roman"/>
                <w:lang w:eastAsia="pl-PL"/>
              </w:rPr>
              <w:t>na</w:t>
            </w:r>
          </w:p>
          <w:p w14:paraId="26FEC3AD" w14:textId="1BCC571B" w:rsidR="00120130" w:rsidRPr="00EB2FF9" w:rsidRDefault="00120130" w:rsidP="00120130">
            <w:pPr>
              <w:spacing w:after="0" w:line="276" w:lineRule="auto"/>
              <w:jc w:val="both"/>
              <w:rPr>
                <w:rFonts w:ascii="Times New Roman" w:eastAsia="Times New Roman" w:hAnsi="Times New Roman" w:cs="Times New Roman"/>
                <w:lang w:eastAsia="pl-PL"/>
              </w:rPr>
            </w:pPr>
            <w:r w:rsidRPr="00EB2FF9">
              <w:rPr>
                <w:rFonts w:ascii="Times New Roman" w:eastAsia="Times New Roman" w:hAnsi="Times New Roman" w:cs="Times New Roman"/>
                <w:lang w:eastAsia="pl-PL"/>
              </w:rPr>
              <w:t xml:space="preserve">„Strefa </w:t>
            </w:r>
            <w:proofErr w:type="spellStart"/>
            <w:r w:rsidRPr="00EB2FF9">
              <w:rPr>
                <w:rFonts w:ascii="Times New Roman" w:eastAsia="Times New Roman" w:hAnsi="Times New Roman" w:cs="Times New Roman"/>
                <w:lang w:eastAsia="pl-PL"/>
              </w:rPr>
              <w:t>Schengen</w:t>
            </w:r>
            <w:proofErr w:type="spellEnd"/>
            <w:r w:rsidRPr="00EB2FF9">
              <w:rPr>
                <w:rFonts w:ascii="Times New Roman" w:eastAsia="Times New Roman" w:hAnsi="Times New Roman" w:cs="Times New Roman"/>
                <w:lang w:eastAsia="pl-PL"/>
              </w:rPr>
              <w:t xml:space="preserve">, czyli obszar UE, na którym sukcesywnie znosi się wewnętrzne kontrole graniczne, powstała w 1995 roku. Obecnie (2021) strefa </w:t>
            </w:r>
            <w:proofErr w:type="spellStart"/>
            <w:r w:rsidRPr="00EB2FF9">
              <w:rPr>
                <w:rFonts w:ascii="Times New Roman" w:eastAsia="Times New Roman" w:hAnsi="Times New Roman" w:cs="Times New Roman"/>
                <w:lang w:eastAsia="pl-PL"/>
              </w:rPr>
              <w:t>Schengen</w:t>
            </w:r>
            <w:proofErr w:type="spellEnd"/>
            <w:r w:rsidRPr="00EB2FF9">
              <w:rPr>
                <w:rFonts w:ascii="Times New Roman" w:eastAsia="Times New Roman" w:hAnsi="Times New Roman" w:cs="Times New Roman"/>
                <w:lang w:eastAsia="pl-PL"/>
              </w:rPr>
              <w:t xml:space="preserve"> obejmuje 25 państw UE – z wyjątkiem Irlandii, która utrzymuje w mocy klauzulę </w:t>
            </w:r>
            <w:proofErr w:type="spellStart"/>
            <w:r w:rsidRPr="00EB2FF9">
              <w:rPr>
                <w:rFonts w:ascii="Times New Roman" w:eastAsia="Times New Roman" w:hAnsi="Times New Roman" w:cs="Times New Roman"/>
                <w:lang w:eastAsia="pl-PL"/>
              </w:rPr>
              <w:t>opt</w:t>
            </w:r>
            <w:proofErr w:type="spellEnd"/>
            <w:r w:rsidRPr="00EB2FF9">
              <w:rPr>
                <w:rFonts w:ascii="Times New Roman" w:eastAsia="Times New Roman" w:hAnsi="Times New Roman" w:cs="Times New Roman"/>
                <w:lang w:eastAsia="pl-PL"/>
              </w:rPr>
              <w:t xml:space="preserve">-out, a także Bułgarii, Chorwacji, Cypru i Rumunii, które przyjęły </w:t>
            </w:r>
            <w:proofErr w:type="spellStart"/>
            <w:r w:rsidRPr="00EB2FF9">
              <w:rPr>
                <w:rFonts w:ascii="Times New Roman" w:eastAsia="Times New Roman" w:hAnsi="Times New Roman" w:cs="Times New Roman"/>
                <w:lang w:eastAsia="pl-PL"/>
              </w:rPr>
              <w:t>acquis</w:t>
            </w:r>
            <w:proofErr w:type="spellEnd"/>
            <w:r w:rsidRPr="00EB2FF9">
              <w:rPr>
                <w:rFonts w:ascii="Times New Roman" w:eastAsia="Times New Roman" w:hAnsi="Times New Roman" w:cs="Times New Roman"/>
                <w:lang w:eastAsia="pl-PL"/>
              </w:rPr>
              <w:t xml:space="preserve"> </w:t>
            </w:r>
            <w:proofErr w:type="spellStart"/>
            <w:r w:rsidRPr="00EB2FF9">
              <w:rPr>
                <w:rFonts w:ascii="Times New Roman" w:eastAsia="Times New Roman" w:hAnsi="Times New Roman" w:cs="Times New Roman"/>
                <w:lang w:eastAsia="pl-PL"/>
              </w:rPr>
              <w:t>Schengen</w:t>
            </w:r>
            <w:proofErr w:type="spellEnd"/>
            <w:r w:rsidRPr="00EB2FF9">
              <w:rPr>
                <w:rFonts w:ascii="Times New Roman" w:eastAsia="Times New Roman" w:hAnsi="Times New Roman" w:cs="Times New Roman"/>
                <w:lang w:eastAsia="pl-PL"/>
              </w:rPr>
              <w:t xml:space="preserve">, ale wobec których nie podjęto decyzji o zniesieniu kontroli na granicy z nimi innych państw strefy </w:t>
            </w:r>
            <w:proofErr w:type="spellStart"/>
            <w:r w:rsidRPr="00EB2FF9">
              <w:rPr>
                <w:rFonts w:ascii="Times New Roman" w:eastAsia="Times New Roman" w:hAnsi="Times New Roman" w:cs="Times New Roman"/>
                <w:lang w:eastAsia="pl-PL"/>
              </w:rPr>
              <w:t>Schengen</w:t>
            </w:r>
            <w:proofErr w:type="spellEnd"/>
            <w:r w:rsidRPr="00EB2FF9">
              <w:rPr>
                <w:rFonts w:ascii="Times New Roman" w:eastAsia="Times New Roman" w:hAnsi="Times New Roman" w:cs="Times New Roman"/>
                <w:lang w:eastAsia="pl-PL"/>
              </w:rPr>
              <w:t>.”.</w:t>
            </w:r>
          </w:p>
          <w:p w14:paraId="3F10132B" w14:textId="77777777" w:rsidR="00120130" w:rsidRPr="00EB2FF9" w:rsidRDefault="00120130" w:rsidP="00120130">
            <w:pPr>
              <w:spacing w:after="0" w:line="276" w:lineRule="auto"/>
              <w:jc w:val="both"/>
              <w:rPr>
                <w:rFonts w:ascii="Times New Roman" w:eastAsia="Times New Roman" w:hAnsi="Times New Roman" w:cs="Times New Roman"/>
                <w:lang w:eastAsia="pl-PL"/>
              </w:rPr>
            </w:pPr>
          </w:p>
          <w:p w14:paraId="55254DEE" w14:textId="77777777" w:rsidR="00120130" w:rsidRDefault="00120130" w:rsidP="00120130">
            <w:pPr>
              <w:spacing w:after="0" w:line="276" w:lineRule="auto"/>
              <w:jc w:val="both"/>
              <w:rPr>
                <w:rFonts w:ascii="Times New Roman" w:eastAsia="Times New Roman" w:hAnsi="Times New Roman" w:cs="Times New Roman"/>
                <w:lang w:eastAsia="pl-PL"/>
              </w:rPr>
            </w:pPr>
            <w:r w:rsidRPr="00EB2FF9">
              <w:rPr>
                <w:rFonts w:ascii="Times New Roman" w:eastAsia="Times New Roman" w:hAnsi="Times New Roman" w:cs="Times New Roman"/>
                <w:lang w:eastAsia="pl-PL"/>
              </w:rPr>
              <w:t xml:space="preserve">U: skreślenie odesłania do wspólnego obszaru podróżowania wynika ze specyficznej relacji między statusem Irlandii, zobowiązanej jako członek UE </w:t>
            </w:r>
            <w:r w:rsidRPr="00EB2FF9">
              <w:rPr>
                <w:rFonts w:ascii="Times New Roman" w:eastAsia="Times New Roman" w:hAnsi="Times New Roman" w:cs="Times New Roman"/>
                <w:lang w:eastAsia="pl-PL"/>
              </w:rPr>
              <w:lastRenderedPageBreak/>
              <w:t xml:space="preserve">do pełnego respektowania zasady swobody przepływu osób w ramach Unii, a jednocześnie utrzymującego w mocy rozwiązania </w:t>
            </w:r>
            <w:proofErr w:type="spellStart"/>
            <w:r w:rsidRPr="00EB2FF9">
              <w:rPr>
                <w:rFonts w:ascii="Times New Roman" w:eastAsia="Times New Roman" w:hAnsi="Times New Roman" w:cs="Times New Roman"/>
                <w:lang w:eastAsia="pl-PL"/>
              </w:rPr>
              <w:t>Common</w:t>
            </w:r>
            <w:proofErr w:type="spellEnd"/>
            <w:r w:rsidRPr="00EB2FF9">
              <w:rPr>
                <w:rFonts w:ascii="Times New Roman" w:eastAsia="Times New Roman" w:hAnsi="Times New Roman" w:cs="Times New Roman"/>
                <w:lang w:eastAsia="pl-PL"/>
              </w:rPr>
              <w:t xml:space="preserve"> </w:t>
            </w:r>
            <w:proofErr w:type="spellStart"/>
            <w:r w:rsidRPr="00EB2FF9">
              <w:rPr>
                <w:rFonts w:ascii="Times New Roman" w:eastAsia="Times New Roman" w:hAnsi="Times New Roman" w:cs="Times New Roman"/>
                <w:lang w:eastAsia="pl-PL"/>
              </w:rPr>
              <w:t>Trael</w:t>
            </w:r>
            <w:proofErr w:type="spellEnd"/>
            <w:r w:rsidRPr="00EB2FF9">
              <w:rPr>
                <w:rFonts w:ascii="Times New Roman" w:eastAsia="Times New Roman" w:hAnsi="Times New Roman" w:cs="Times New Roman"/>
                <w:lang w:eastAsia="pl-PL"/>
              </w:rPr>
              <w:t xml:space="preserve"> </w:t>
            </w:r>
            <w:proofErr w:type="spellStart"/>
            <w:r w:rsidRPr="00EB2FF9">
              <w:rPr>
                <w:rFonts w:ascii="Times New Roman" w:eastAsia="Times New Roman" w:hAnsi="Times New Roman" w:cs="Times New Roman"/>
                <w:lang w:eastAsia="pl-PL"/>
              </w:rPr>
              <w:t>Area</w:t>
            </w:r>
            <w:proofErr w:type="spellEnd"/>
            <w:r w:rsidRPr="00EB2FF9">
              <w:rPr>
                <w:rFonts w:ascii="Times New Roman" w:eastAsia="Times New Roman" w:hAnsi="Times New Roman" w:cs="Times New Roman"/>
                <w:lang w:eastAsia="pl-PL"/>
              </w:rPr>
              <w:t xml:space="preserve">, czyli umowy regulującej przepływ obywateli brytyjskich i Irlandii między dwoma krajami, jak również wzajemne uznawanie wiz wydawanych przez oba państwa obywatelom niektórych państw spoza Unii. Wyjaśnienie tego złożonego problemu wykracza poza ramy uzasadnienia do projektu polskiej ustawy. Bułgaria, Chorwacja, Cypr i Rumunia przystąpiły do strefy </w:t>
            </w:r>
            <w:proofErr w:type="spellStart"/>
            <w:r w:rsidRPr="00EB2FF9">
              <w:rPr>
                <w:rFonts w:ascii="Times New Roman" w:eastAsia="Times New Roman" w:hAnsi="Times New Roman" w:cs="Times New Roman"/>
                <w:lang w:eastAsia="pl-PL"/>
              </w:rPr>
              <w:t>Schengen</w:t>
            </w:r>
            <w:proofErr w:type="spellEnd"/>
            <w:r w:rsidRPr="00EB2FF9">
              <w:rPr>
                <w:rFonts w:ascii="Times New Roman" w:eastAsia="Times New Roman" w:hAnsi="Times New Roman" w:cs="Times New Roman"/>
                <w:lang w:eastAsia="pl-PL"/>
              </w:rPr>
              <w:t xml:space="preserve"> z dniem akcesji, podobnie jak Polska, są zo</w:t>
            </w:r>
            <w:r w:rsidRPr="00C2454A">
              <w:rPr>
                <w:rFonts w:ascii="Times New Roman" w:eastAsia="Times New Roman" w:hAnsi="Times New Roman" w:cs="Times New Roman"/>
                <w:lang w:eastAsia="pl-PL"/>
              </w:rPr>
              <w:t xml:space="preserve">bowiązane do stosowania przepisów </w:t>
            </w:r>
            <w:proofErr w:type="spellStart"/>
            <w:r w:rsidRPr="00C2454A">
              <w:rPr>
                <w:rFonts w:ascii="Times New Roman" w:eastAsia="Times New Roman" w:hAnsi="Times New Roman" w:cs="Times New Roman"/>
                <w:lang w:eastAsia="pl-PL"/>
              </w:rPr>
              <w:t>Schengen</w:t>
            </w:r>
            <w:proofErr w:type="spellEnd"/>
            <w:r w:rsidRPr="00C2454A">
              <w:rPr>
                <w:rFonts w:ascii="Times New Roman" w:eastAsia="Times New Roman" w:hAnsi="Times New Roman" w:cs="Times New Roman"/>
                <w:lang w:eastAsia="pl-PL"/>
              </w:rPr>
              <w:t>.</w:t>
            </w:r>
          </w:p>
          <w:p w14:paraId="714220A4" w14:textId="36C2D0C0" w:rsidR="00E927EF" w:rsidRPr="00C2454A" w:rsidRDefault="00E927EF" w:rsidP="00120130">
            <w:pPr>
              <w:spacing w:after="0" w:line="276" w:lineRule="auto"/>
              <w:jc w:val="both"/>
              <w:rPr>
                <w:rFonts w:ascii="Times New Roman" w:eastAsia="Times New Roman" w:hAnsi="Times New Roman" w:cs="Times New Roman"/>
                <w:lang w:eastAsia="pl-PL"/>
              </w:rPr>
            </w:pPr>
          </w:p>
        </w:tc>
        <w:tc>
          <w:tcPr>
            <w:tcW w:w="5128" w:type="dxa"/>
            <w:shd w:val="clear" w:color="auto" w:fill="FFFFFF" w:themeFill="background1"/>
          </w:tcPr>
          <w:p w14:paraId="2BDFF937" w14:textId="77777777" w:rsidR="00120130" w:rsidRDefault="00214A6F" w:rsidP="00EB2FF9">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uzgodniono</w:t>
            </w:r>
            <w:r w:rsidR="00120130">
              <w:rPr>
                <w:rFonts w:ascii="Times New Roman" w:eastAsia="Times New Roman" w:hAnsi="Times New Roman" w:cs="Times New Roman"/>
                <w:lang w:eastAsia="pl-PL"/>
              </w:rPr>
              <w:t xml:space="preserve"> </w:t>
            </w:r>
          </w:p>
          <w:p w14:paraId="26CA4400" w14:textId="1A8C910D" w:rsidR="00865925" w:rsidRPr="00C2454A" w:rsidRDefault="004101C0" w:rsidP="00416C34">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865925">
              <w:rPr>
                <w:rFonts w:ascii="Times New Roman" w:eastAsia="Times New Roman" w:hAnsi="Times New Roman" w:cs="Times New Roman"/>
                <w:lang w:eastAsia="pl-PL"/>
              </w:rPr>
              <w:t>uwzględniono - zmieniono wskazaną treść uzasadnienia projektu wg propozycji</w:t>
            </w:r>
          </w:p>
        </w:tc>
      </w:tr>
      <w:tr w:rsidR="00120130" w:rsidRPr="00C2454A" w14:paraId="65DF9F5A" w14:textId="77777777" w:rsidTr="00175436">
        <w:tc>
          <w:tcPr>
            <w:tcW w:w="562" w:type="dxa"/>
            <w:shd w:val="clear" w:color="auto" w:fill="FFFFFF" w:themeFill="background1"/>
            <w:vAlign w:val="center"/>
          </w:tcPr>
          <w:p w14:paraId="50361814" w14:textId="5624409A" w:rsidR="00120130" w:rsidRPr="00C2454A"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shd w:val="clear" w:color="auto" w:fill="FFFFFF" w:themeFill="background1"/>
            <w:vAlign w:val="center"/>
          </w:tcPr>
          <w:p w14:paraId="46468737" w14:textId="24DA741E" w:rsidR="00120130" w:rsidRPr="00C2454A" w:rsidRDefault="00120130" w:rsidP="00120130">
            <w:pPr>
              <w:spacing w:after="0" w:line="276" w:lineRule="auto"/>
              <w:jc w:val="center"/>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MS</w:t>
            </w:r>
          </w:p>
        </w:tc>
        <w:tc>
          <w:tcPr>
            <w:tcW w:w="1394" w:type="dxa"/>
            <w:shd w:val="clear" w:color="auto" w:fill="FFFFFF" w:themeFill="background1"/>
            <w:vAlign w:val="center"/>
          </w:tcPr>
          <w:p w14:paraId="617D487E" w14:textId="77777777"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uzasadnienie projektu – w zakresie  art. 4 </w:t>
            </w:r>
          </w:p>
          <w:p w14:paraId="1ABE1B8E" w14:textId="1E52E9D5"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ust. 1 pkt 3</w:t>
            </w:r>
          </w:p>
        </w:tc>
        <w:tc>
          <w:tcPr>
            <w:tcW w:w="6897" w:type="dxa"/>
            <w:shd w:val="clear" w:color="auto" w:fill="FFFFFF" w:themeFill="background1"/>
          </w:tcPr>
          <w:p w14:paraId="0A33D082" w14:textId="757FBF61" w:rsidR="00120130" w:rsidRPr="00C2454A" w:rsidRDefault="00120130" w:rsidP="00120130">
            <w:pPr>
              <w:spacing w:after="0" w:line="276" w:lineRule="auto"/>
              <w:jc w:val="both"/>
              <w:rPr>
                <w:rFonts w:ascii="Times New Roman" w:eastAsia="Times New Roman" w:hAnsi="Times New Roman" w:cs="Times New Roman"/>
                <w:lang w:eastAsia="pl-PL"/>
              </w:rPr>
            </w:pPr>
            <w:r w:rsidRPr="00C2454A">
              <w:rPr>
                <w:rFonts w:ascii="Times New Roman" w:eastAsia="Times New Roman" w:hAnsi="Times New Roman" w:cs="Times New Roman"/>
                <w:lang w:eastAsia="pl-PL"/>
              </w:rPr>
              <w:t xml:space="preserve">braki w  uzasadnieniu: celowe </w:t>
            </w:r>
            <w:r w:rsidRPr="00900BB1">
              <w:rPr>
                <w:rFonts w:ascii="Times New Roman" w:eastAsia="Times New Roman" w:hAnsi="Times New Roman" w:cs="Times New Roman"/>
                <w:lang w:eastAsia="pl-PL"/>
              </w:rPr>
              <w:t>jest wskazanie powodów przyznania ministrowi właściwemu do spraw wewnętrznych i wojewodzie</w:t>
            </w:r>
            <w:r w:rsidRPr="00175436">
              <w:rPr>
                <w:rFonts w:ascii="Times New Roman" w:eastAsia="Times New Roman" w:hAnsi="Times New Roman" w:cs="Times New Roman"/>
                <w:lang w:eastAsia="pl-PL"/>
              </w:rPr>
              <w:t xml:space="preserve"> dostępu do systemu, w celu wglądu, w odniesieniu do wpisów do SIS, obejmujących osoby poszukiwane do tymczasowego aresztowania w celu ich wydania lub przekazania na podstawie europejskiego nakazu aresztowania oraz osoby poszukiwane dla ustalenia miejsca ich pobytu - co najpewniej jest konsekwencją szczegółowych zadań tych organów, a </w:t>
            </w:r>
            <w:proofErr w:type="spellStart"/>
            <w:r w:rsidRPr="00175436">
              <w:rPr>
                <w:rFonts w:ascii="Times New Roman" w:eastAsia="Times New Roman" w:hAnsi="Times New Roman" w:cs="Times New Roman"/>
                <w:lang w:eastAsia="pl-PL"/>
              </w:rPr>
              <w:t>obow</w:t>
            </w:r>
            <w:proofErr w:type="spellEnd"/>
            <w:r w:rsidRPr="00175436">
              <w:rPr>
                <w:rFonts w:ascii="Times New Roman" w:eastAsia="Times New Roman" w:hAnsi="Times New Roman" w:cs="Times New Roman"/>
                <w:lang w:eastAsia="pl-PL"/>
              </w:rPr>
              <w:t xml:space="preserve">. ustawa </w:t>
            </w:r>
            <w:r w:rsidR="003D2B5B" w:rsidRPr="00175436">
              <w:rPr>
                <w:rFonts w:ascii="Times New Roman" w:eastAsia="Times New Roman" w:hAnsi="Times New Roman" w:cs="Times New Roman"/>
                <w:lang w:eastAsia="pl-PL"/>
              </w:rPr>
              <w:t xml:space="preserve">w art. 4 ust. 1 pkt 3 </w:t>
            </w:r>
            <w:r w:rsidRPr="00175436">
              <w:rPr>
                <w:rFonts w:ascii="Times New Roman" w:eastAsia="Times New Roman" w:hAnsi="Times New Roman" w:cs="Times New Roman"/>
                <w:lang w:eastAsia="pl-PL"/>
              </w:rPr>
              <w:t>nie przewiduje uprawnienia do wglądu w odniesieniu do tej kategorii wpisów dla obu ww. organów.</w:t>
            </w:r>
          </w:p>
        </w:tc>
        <w:tc>
          <w:tcPr>
            <w:tcW w:w="5128" w:type="dxa"/>
            <w:shd w:val="clear" w:color="auto" w:fill="FFFFFF" w:themeFill="background1"/>
          </w:tcPr>
          <w:p w14:paraId="2FB9F89D" w14:textId="03A2C5B4" w:rsidR="00CB05D3" w:rsidRDefault="00175436" w:rsidP="0074349E">
            <w:pPr>
              <w:spacing w:after="0" w:line="276" w:lineRule="auto"/>
              <w:jc w:val="both"/>
              <w:rPr>
                <w:rFonts w:ascii="Times New Roman" w:eastAsia="Times New Roman" w:hAnsi="Times New Roman" w:cs="Times New Roman"/>
                <w:lang w:eastAsia="pl-PL"/>
              </w:rPr>
            </w:pPr>
            <w:r w:rsidRPr="00175436">
              <w:rPr>
                <w:rFonts w:ascii="Times New Roman" w:eastAsia="Times New Roman" w:hAnsi="Times New Roman" w:cs="Times New Roman"/>
                <w:lang w:eastAsia="pl-PL"/>
              </w:rPr>
              <w:t>u</w:t>
            </w:r>
            <w:r w:rsidR="0074349E">
              <w:rPr>
                <w:rFonts w:ascii="Times New Roman" w:eastAsia="Times New Roman" w:hAnsi="Times New Roman" w:cs="Times New Roman"/>
                <w:lang w:eastAsia="pl-PL"/>
              </w:rPr>
              <w:t>zgodniono</w:t>
            </w:r>
          </w:p>
          <w:p w14:paraId="1F2239FF" w14:textId="6D11B18E" w:rsidR="00FA1416" w:rsidRDefault="00900BB1" w:rsidP="00FA1416">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uwagę </w:t>
            </w:r>
            <w:r w:rsidR="00FA1416" w:rsidRPr="00175436">
              <w:rPr>
                <w:rFonts w:ascii="Times New Roman" w:eastAsia="Times New Roman" w:hAnsi="Times New Roman" w:cs="Times New Roman"/>
                <w:lang w:eastAsia="pl-PL"/>
              </w:rPr>
              <w:t>uwzględniono</w:t>
            </w:r>
            <w:r w:rsidR="00FA1416">
              <w:rPr>
                <w:rFonts w:ascii="Times New Roman" w:eastAsia="Times New Roman" w:hAnsi="Times New Roman" w:cs="Times New Roman"/>
                <w:lang w:eastAsia="pl-PL"/>
              </w:rPr>
              <w:t xml:space="preserve"> </w:t>
            </w:r>
            <w:r w:rsidR="00FA1416" w:rsidRPr="00175436">
              <w:rPr>
                <w:rFonts w:ascii="Times New Roman" w:eastAsia="Times New Roman" w:hAnsi="Times New Roman" w:cs="Times New Roman"/>
                <w:lang w:eastAsia="pl-PL"/>
              </w:rPr>
              <w:t>(rozpoznając łącznie z uwagą</w:t>
            </w:r>
            <w:r w:rsidR="00FA1416">
              <w:rPr>
                <w:rFonts w:ascii="Times New Roman" w:eastAsia="Times New Roman" w:hAnsi="Times New Roman" w:cs="Times New Roman"/>
                <w:lang w:eastAsia="pl-PL"/>
              </w:rPr>
              <w:t xml:space="preserve"> DPUE nr 3</w:t>
            </w:r>
            <w:r w:rsidR="00FA1416" w:rsidRPr="00CB05D3">
              <w:rPr>
                <w:rFonts w:ascii="Times New Roman" w:eastAsia="Times New Roman" w:hAnsi="Times New Roman" w:cs="Times New Roman"/>
                <w:lang w:eastAsia="pl-PL"/>
              </w:rPr>
              <w:t xml:space="preserve"> dot. </w:t>
            </w:r>
            <w:r w:rsidR="00FA1416">
              <w:rPr>
                <w:rFonts w:ascii="Times New Roman" w:eastAsia="Times New Roman" w:hAnsi="Times New Roman" w:cs="Times New Roman"/>
                <w:lang w:eastAsia="pl-PL"/>
              </w:rPr>
              <w:t>ograniczenia zakresu</w:t>
            </w:r>
            <w:r w:rsidR="00FA1416" w:rsidRPr="00CB05D3">
              <w:rPr>
                <w:rFonts w:ascii="Times New Roman" w:eastAsia="Times New Roman" w:hAnsi="Times New Roman" w:cs="Times New Roman"/>
                <w:lang w:eastAsia="pl-PL"/>
              </w:rPr>
              <w:t xml:space="preserve"> uprawnień</w:t>
            </w:r>
            <w:r w:rsidR="00FA1416">
              <w:rPr>
                <w:rFonts w:ascii="Times New Roman" w:eastAsia="Times New Roman" w:hAnsi="Times New Roman" w:cs="Times New Roman"/>
                <w:lang w:eastAsia="pl-PL"/>
              </w:rPr>
              <w:t xml:space="preserve"> w art. 4 ust. 1 projektu</w:t>
            </w:r>
            <w:r w:rsidR="00FA1416" w:rsidRPr="00175436">
              <w:rPr>
                <w:rFonts w:ascii="Times New Roman" w:eastAsia="Times New Roman" w:hAnsi="Times New Roman" w:cs="Times New Roman"/>
                <w:lang w:eastAsia="pl-PL"/>
              </w:rPr>
              <w:t>)</w:t>
            </w:r>
            <w:r w:rsidR="00FA1416">
              <w:rPr>
                <w:rFonts w:ascii="Times New Roman" w:eastAsia="Times New Roman" w:hAnsi="Times New Roman" w:cs="Times New Roman"/>
                <w:lang w:eastAsia="pl-PL"/>
              </w:rPr>
              <w:t xml:space="preserve"> </w:t>
            </w:r>
            <w:r w:rsidR="003B17B9">
              <w:rPr>
                <w:rFonts w:ascii="Times New Roman" w:eastAsia="Times New Roman" w:hAnsi="Times New Roman" w:cs="Times New Roman"/>
                <w:lang w:eastAsia="pl-PL"/>
              </w:rPr>
              <w:t>–</w:t>
            </w:r>
            <w:r w:rsidR="00FA1416" w:rsidRPr="00175436">
              <w:rPr>
                <w:rFonts w:ascii="Times New Roman" w:eastAsia="Times New Roman" w:hAnsi="Times New Roman" w:cs="Times New Roman"/>
                <w:lang w:eastAsia="pl-PL"/>
              </w:rPr>
              <w:t xml:space="preserve"> </w:t>
            </w:r>
            <w:r w:rsidR="003B17B9">
              <w:rPr>
                <w:rFonts w:ascii="Times New Roman" w:eastAsia="Times New Roman" w:hAnsi="Times New Roman" w:cs="Times New Roman"/>
                <w:lang w:eastAsia="pl-PL"/>
              </w:rPr>
              <w:t>vide treść pozycji 3 tabeli</w:t>
            </w:r>
          </w:p>
          <w:p w14:paraId="32439609" w14:textId="2CB826EC" w:rsidR="00175436" w:rsidRPr="00C2454A" w:rsidRDefault="00175436" w:rsidP="00CB05D3">
            <w:pPr>
              <w:spacing w:after="0" w:line="276" w:lineRule="auto"/>
              <w:jc w:val="both"/>
              <w:rPr>
                <w:rFonts w:ascii="Times New Roman" w:eastAsia="Times New Roman" w:hAnsi="Times New Roman" w:cs="Times New Roman"/>
                <w:lang w:eastAsia="pl-PL"/>
              </w:rPr>
            </w:pPr>
          </w:p>
        </w:tc>
      </w:tr>
      <w:tr w:rsidR="00120130" w:rsidRPr="00C2454A" w14:paraId="7157FA3C" w14:textId="77777777" w:rsidTr="00F91B36">
        <w:tc>
          <w:tcPr>
            <w:tcW w:w="562" w:type="dxa"/>
            <w:tcBorders>
              <w:bottom w:val="single" w:sz="24" w:space="0" w:color="auto"/>
            </w:tcBorders>
            <w:shd w:val="clear" w:color="auto" w:fill="FFFFFF" w:themeFill="background1"/>
            <w:vAlign w:val="center"/>
          </w:tcPr>
          <w:p w14:paraId="58EBB245" w14:textId="3B7F6C08" w:rsidR="00120130" w:rsidRPr="00D275BD" w:rsidRDefault="00120130" w:rsidP="00120130">
            <w:pPr>
              <w:numPr>
                <w:ilvl w:val="0"/>
                <w:numId w:val="1"/>
              </w:numPr>
              <w:spacing w:before="60" w:after="60" w:line="276" w:lineRule="auto"/>
              <w:jc w:val="both"/>
              <w:rPr>
                <w:rFonts w:ascii="Times New Roman" w:eastAsia="Times New Roman" w:hAnsi="Times New Roman" w:cs="Times New Roman"/>
                <w:b/>
                <w:lang w:eastAsia="pl-PL"/>
              </w:rPr>
            </w:pPr>
          </w:p>
        </w:tc>
        <w:tc>
          <w:tcPr>
            <w:tcW w:w="1276" w:type="dxa"/>
            <w:tcBorders>
              <w:bottom w:val="single" w:sz="24" w:space="0" w:color="auto"/>
            </w:tcBorders>
            <w:shd w:val="clear" w:color="auto" w:fill="FFFFFF" w:themeFill="background1"/>
            <w:vAlign w:val="center"/>
          </w:tcPr>
          <w:p w14:paraId="6522ECF6" w14:textId="7ECEFCD9" w:rsidR="00120130" w:rsidRPr="00D275BD" w:rsidRDefault="00120130" w:rsidP="00120130">
            <w:pPr>
              <w:spacing w:after="0" w:line="276" w:lineRule="auto"/>
              <w:jc w:val="center"/>
              <w:rPr>
                <w:rFonts w:ascii="Times New Roman" w:eastAsia="Times New Roman" w:hAnsi="Times New Roman" w:cs="Times New Roman"/>
                <w:lang w:eastAsia="pl-PL"/>
              </w:rPr>
            </w:pPr>
            <w:r w:rsidRPr="00D275BD">
              <w:rPr>
                <w:rFonts w:ascii="Times New Roman" w:eastAsia="Times New Roman" w:hAnsi="Times New Roman" w:cs="Times New Roman"/>
                <w:lang w:eastAsia="pl-PL"/>
              </w:rPr>
              <w:t>MS</w:t>
            </w:r>
          </w:p>
        </w:tc>
        <w:tc>
          <w:tcPr>
            <w:tcW w:w="1394" w:type="dxa"/>
            <w:tcBorders>
              <w:bottom w:val="single" w:sz="24" w:space="0" w:color="auto"/>
            </w:tcBorders>
            <w:shd w:val="clear" w:color="auto" w:fill="FFFFFF" w:themeFill="background1"/>
            <w:vAlign w:val="center"/>
          </w:tcPr>
          <w:p w14:paraId="07E988CA" w14:textId="057A7528" w:rsidR="00120130" w:rsidRPr="00D275BD" w:rsidRDefault="00120130" w:rsidP="00120130">
            <w:pPr>
              <w:spacing w:after="0" w:line="276" w:lineRule="auto"/>
              <w:jc w:val="both"/>
              <w:rPr>
                <w:rFonts w:ascii="Times New Roman" w:eastAsia="Times New Roman" w:hAnsi="Times New Roman" w:cs="Times New Roman"/>
                <w:lang w:eastAsia="pl-PL"/>
              </w:rPr>
            </w:pPr>
            <w:r w:rsidRPr="00D275BD">
              <w:rPr>
                <w:rFonts w:ascii="Times New Roman" w:eastAsia="Times New Roman" w:hAnsi="Times New Roman" w:cs="Times New Roman"/>
                <w:lang w:eastAsia="pl-PL"/>
              </w:rPr>
              <w:t>OSR</w:t>
            </w:r>
          </w:p>
        </w:tc>
        <w:tc>
          <w:tcPr>
            <w:tcW w:w="6897" w:type="dxa"/>
            <w:tcBorders>
              <w:bottom w:val="single" w:sz="24" w:space="0" w:color="auto"/>
            </w:tcBorders>
            <w:shd w:val="clear" w:color="auto" w:fill="FFFFFF" w:themeFill="background1"/>
          </w:tcPr>
          <w:p w14:paraId="3ABC1AAD" w14:textId="00ABDE33" w:rsidR="00120130" w:rsidRPr="00D275BD" w:rsidRDefault="00120130" w:rsidP="00120130">
            <w:pPr>
              <w:spacing w:after="0" w:line="276" w:lineRule="auto"/>
              <w:jc w:val="both"/>
              <w:rPr>
                <w:rFonts w:ascii="Times New Roman" w:eastAsia="Times New Roman" w:hAnsi="Times New Roman" w:cs="Times New Roman"/>
                <w:lang w:eastAsia="pl-PL"/>
              </w:rPr>
            </w:pPr>
            <w:r w:rsidRPr="00D275BD">
              <w:rPr>
                <w:rFonts w:ascii="Times New Roman" w:eastAsia="Times New Roman" w:hAnsi="Times New Roman" w:cs="Times New Roman"/>
                <w:lang w:eastAsia="pl-PL"/>
              </w:rPr>
              <w:t xml:space="preserve">w ocenie skutków regulacji powinna zostać uwzględniona okoliczność, że dodatkowe </w:t>
            </w:r>
            <w:r w:rsidRPr="00F91B36">
              <w:rPr>
                <w:rFonts w:ascii="Times New Roman" w:eastAsia="Times New Roman" w:hAnsi="Times New Roman" w:cs="Times New Roman"/>
                <w:lang w:eastAsia="pl-PL"/>
              </w:rPr>
              <w:t>uprawnienia przewidziane dla prokuratorów pociągną za sobą skutki finansowe związane z koniecznością rozbudowy systemu PROK-SYS o możliwość współpracy z KSI w zakresie dokonywania wpisów wskazanych w art. 3 zmienianej ustawy, tj.:</w:t>
            </w:r>
          </w:p>
          <w:p w14:paraId="6B0D7701" w14:textId="044AC092" w:rsidR="00120130" w:rsidRPr="00D275BD" w:rsidRDefault="00120130" w:rsidP="00120130">
            <w:pPr>
              <w:spacing w:after="0" w:line="276" w:lineRule="auto"/>
              <w:jc w:val="both"/>
              <w:rPr>
                <w:rFonts w:ascii="Times New Roman" w:eastAsia="Times New Roman" w:hAnsi="Times New Roman" w:cs="Times New Roman"/>
                <w:lang w:eastAsia="pl-PL"/>
              </w:rPr>
            </w:pPr>
            <w:r w:rsidRPr="00D275BD">
              <w:rPr>
                <w:rFonts w:ascii="Times New Roman" w:eastAsia="Times New Roman" w:hAnsi="Times New Roman" w:cs="Times New Roman"/>
                <w:lang w:eastAsia="pl-PL"/>
              </w:rPr>
              <w:t xml:space="preserve">1/ 400 000 zł – szacunki wstępne Biura Informatyzacji i Analiz Prokuratury Krajowej </w:t>
            </w:r>
          </w:p>
          <w:p w14:paraId="253164AF" w14:textId="1D7DCF6D" w:rsidR="00120130" w:rsidRPr="00D275BD" w:rsidRDefault="00120130" w:rsidP="00120130">
            <w:pPr>
              <w:spacing w:after="0" w:line="276" w:lineRule="auto"/>
              <w:jc w:val="both"/>
              <w:rPr>
                <w:rFonts w:ascii="Times New Roman" w:eastAsia="Times New Roman" w:hAnsi="Times New Roman" w:cs="Times New Roman"/>
                <w:lang w:eastAsia="pl-PL"/>
              </w:rPr>
            </w:pPr>
            <w:r w:rsidRPr="00D275BD">
              <w:rPr>
                <w:rFonts w:ascii="Times New Roman" w:eastAsia="Times New Roman" w:hAnsi="Times New Roman" w:cs="Times New Roman"/>
                <w:lang w:eastAsia="pl-PL"/>
              </w:rPr>
              <w:t>2/ oraz koszty szkolenia osób niezbędne do uzyskania uprawnień dostępowych</w:t>
            </w:r>
          </w:p>
        </w:tc>
        <w:tc>
          <w:tcPr>
            <w:tcW w:w="5128" w:type="dxa"/>
            <w:tcBorders>
              <w:bottom w:val="single" w:sz="24" w:space="0" w:color="auto"/>
            </w:tcBorders>
            <w:shd w:val="clear" w:color="auto" w:fill="FFFFFF" w:themeFill="background1"/>
          </w:tcPr>
          <w:p w14:paraId="5CD93361" w14:textId="0F275ACF" w:rsidR="00147B22" w:rsidRDefault="00147B22" w:rsidP="00120130">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t>
            </w:r>
            <w:r w:rsidR="0074349E">
              <w:rPr>
                <w:rFonts w:ascii="Times New Roman" w:eastAsia="Times New Roman" w:hAnsi="Times New Roman" w:cs="Times New Roman"/>
                <w:lang w:eastAsia="pl-PL"/>
              </w:rPr>
              <w:t>zgodniono</w:t>
            </w:r>
          </w:p>
          <w:p w14:paraId="06471E09" w14:textId="7FFD7067" w:rsidR="00120130" w:rsidRPr="00D275BD" w:rsidRDefault="00855771" w:rsidP="00FA1416">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uwagę</w:t>
            </w:r>
            <w:r w:rsidR="00147B22">
              <w:rPr>
                <w:rFonts w:ascii="Times New Roman" w:eastAsia="Times New Roman" w:hAnsi="Times New Roman" w:cs="Times New Roman"/>
                <w:lang w:eastAsia="pl-PL"/>
              </w:rPr>
              <w:t xml:space="preserve"> </w:t>
            </w:r>
            <w:r w:rsidR="00147B22" w:rsidRPr="00D275BD">
              <w:rPr>
                <w:rFonts w:ascii="Times New Roman" w:eastAsia="Times New Roman" w:hAnsi="Times New Roman" w:cs="Times New Roman"/>
                <w:lang w:eastAsia="pl-PL"/>
              </w:rPr>
              <w:t>uwzględniono</w:t>
            </w:r>
            <w:r w:rsidR="00147B22">
              <w:rPr>
                <w:rFonts w:ascii="Times New Roman" w:eastAsia="Times New Roman" w:hAnsi="Times New Roman" w:cs="Times New Roman"/>
                <w:lang w:eastAsia="pl-PL"/>
              </w:rPr>
              <w:t xml:space="preserve"> 1/ </w:t>
            </w:r>
            <w:r w:rsidR="00147B22" w:rsidRPr="00D275BD">
              <w:rPr>
                <w:rFonts w:ascii="Times New Roman" w:eastAsia="Times New Roman" w:hAnsi="Times New Roman" w:cs="Times New Roman"/>
                <w:lang w:eastAsia="pl-PL"/>
              </w:rPr>
              <w:t>w zakresie pkt 1 - uzupełniono pkt 6 OSR i zał. do OSR (tabela)</w:t>
            </w:r>
            <w:r w:rsidR="00147B22">
              <w:rPr>
                <w:rFonts w:ascii="Times New Roman" w:eastAsia="Times New Roman" w:hAnsi="Times New Roman" w:cs="Times New Roman"/>
                <w:lang w:eastAsia="pl-PL"/>
              </w:rPr>
              <w:t>; dane skorygowano też na podstawie pisma MS z 31.12.21</w:t>
            </w:r>
            <w:r w:rsidR="00147B22" w:rsidRPr="00D275BD">
              <w:rPr>
                <w:rFonts w:ascii="Times New Roman" w:eastAsia="Times New Roman" w:hAnsi="Times New Roman" w:cs="Times New Roman"/>
                <w:lang w:eastAsia="pl-PL"/>
              </w:rPr>
              <w:t>;</w:t>
            </w:r>
            <w:r w:rsidR="00FA1416">
              <w:rPr>
                <w:rFonts w:ascii="Times New Roman" w:eastAsia="Times New Roman" w:hAnsi="Times New Roman" w:cs="Times New Roman"/>
                <w:lang w:eastAsia="pl-PL"/>
              </w:rPr>
              <w:t xml:space="preserve"> </w:t>
            </w:r>
            <w:r w:rsidR="00147B22" w:rsidRPr="00D275BD">
              <w:rPr>
                <w:rFonts w:ascii="Times New Roman" w:eastAsia="Times New Roman" w:hAnsi="Times New Roman" w:cs="Times New Roman"/>
                <w:lang w:eastAsia="pl-PL"/>
              </w:rPr>
              <w:t>2/ pkt 2 – ujęto zbiorczo w  pkt 6 OSR jako parametr odnoszący się do wszystkich użytkowników uprawnionych d</w:t>
            </w:r>
            <w:r w:rsidR="0088043A">
              <w:rPr>
                <w:rFonts w:ascii="Times New Roman" w:eastAsia="Times New Roman" w:hAnsi="Times New Roman" w:cs="Times New Roman"/>
                <w:lang w:eastAsia="pl-PL"/>
              </w:rPr>
              <w:t>o dostępu w trybie bezpośrednim</w:t>
            </w:r>
          </w:p>
        </w:tc>
      </w:tr>
    </w:tbl>
    <w:p w14:paraId="72FF42E6" w14:textId="77777777" w:rsidR="000268B0" w:rsidRDefault="000268B0" w:rsidP="001325F2">
      <w:pPr>
        <w:rPr>
          <w:b/>
        </w:rPr>
      </w:pPr>
    </w:p>
    <w:sectPr w:rsidR="000268B0" w:rsidSect="00C019E3">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09E50" w14:textId="77777777" w:rsidR="00B6568D" w:rsidRDefault="00B6568D" w:rsidP="006979F4">
      <w:pPr>
        <w:spacing w:after="0" w:line="240" w:lineRule="auto"/>
      </w:pPr>
      <w:r>
        <w:separator/>
      </w:r>
    </w:p>
  </w:endnote>
  <w:endnote w:type="continuationSeparator" w:id="0">
    <w:p w14:paraId="0C611024" w14:textId="77777777" w:rsidR="00B6568D" w:rsidRDefault="00B6568D" w:rsidP="00697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706198"/>
      <w:docPartObj>
        <w:docPartGallery w:val="Page Numbers (Bottom of Page)"/>
        <w:docPartUnique/>
      </w:docPartObj>
    </w:sdtPr>
    <w:sdtEndPr/>
    <w:sdtContent>
      <w:p w14:paraId="15B9A39A" w14:textId="7E90747B" w:rsidR="00900BB1" w:rsidRDefault="00900BB1">
        <w:pPr>
          <w:pStyle w:val="Stopka"/>
          <w:jc w:val="center"/>
        </w:pPr>
        <w:r>
          <w:fldChar w:fldCharType="begin"/>
        </w:r>
        <w:r>
          <w:instrText>PAGE   \* MERGEFORMAT</w:instrText>
        </w:r>
        <w:r>
          <w:fldChar w:fldCharType="separate"/>
        </w:r>
        <w:r w:rsidR="007B5DD4">
          <w:rPr>
            <w:noProof/>
          </w:rPr>
          <w:t>23</w:t>
        </w:r>
        <w:r>
          <w:fldChar w:fldCharType="end"/>
        </w:r>
      </w:p>
    </w:sdtContent>
  </w:sdt>
  <w:p w14:paraId="27AFBA0E" w14:textId="77777777" w:rsidR="00900BB1" w:rsidRDefault="00900B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9C6DA" w14:textId="77777777" w:rsidR="00B6568D" w:rsidRDefault="00B6568D" w:rsidP="006979F4">
      <w:pPr>
        <w:spacing w:after="0" w:line="240" w:lineRule="auto"/>
      </w:pPr>
      <w:r>
        <w:separator/>
      </w:r>
    </w:p>
  </w:footnote>
  <w:footnote w:type="continuationSeparator" w:id="0">
    <w:p w14:paraId="40F0B4C9" w14:textId="77777777" w:rsidR="00B6568D" w:rsidRDefault="00B6568D" w:rsidP="006979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28C"/>
    <w:multiLevelType w:val="multilevel"/>
    <w:tmpl w:val="95BCE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D388A"/>
    <w:multiLevelType w:val="hybridMultilevel"/>
    <w:tmpl w:val="D80830BC"/>
    <w:lvl w:ilvl="0" w:tplc="1C5EBE96">
      <w:start w:val="1"/>
      <w:numFmt w:val="decimal"/>
      <w:lvlText w:val="%1."/>
      <w:lvlJc w:val="left"/>
      <w:pPr>
        <w:ind w:left="502" w:hanging="360"/>
      </w:pPr>
      <w:rPr>
        <w:i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7E03BD8"/>
    <w:multiLevelType w:val="hybridMultilevel"/>
    <w:tmpl w:val="AD6ED5A4"/>
    <w:lvl w:ilvl="0" w:tplc="EAA8D1A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B25313A"/>
    <w:multiLevelType w:val="hybridMultilevel"/>
    <w:tmpl w:val="46C2D52A"/>
    <w:lvl w:ilvl="0" w:tplc="BE7AD0D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3154E8"/>
    <w:multiLevelType w:val="hybridMultilevel"/>
    <w:tmpl w:val="30AEF776"/>
    <w:lvl w:ilvl="0" w:tplc="3508EE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A23A2F"/>
    <w:multiLevelType w:val="hybridMultilevel"/>
    <w:tmpl w:val="19F4F2D8"/>
    <w:lvl w:ilvl="0" w:tplc="3B5EEA04">
      <w:start w:val="1"/>
      <w:numFmt w:val="decimal"/>
      <w:lvlText w:val="%1."/>
      <w:lvlJc w:val="left"/>
      <w:pPr>
        <w:ind w:left="960" w:hanging="6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422E0"/>
    <w:multiLevelType w:val="hybridMultilevel"/>
    <w:tmpl w:val="AD6ED5A4"/>
    <w:lvl w:ilvl="0" w:tplc="EAA8D1A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0AB33B9"/>
    <w:multiLevelType w:val="hybridMultilevel"/>
    <w:tmpl w:val="CBA04C34"/>
    <w:lvl w:ilvl="0" w:tplc="FCB0B304">
      <w:start w:val="1"/>
      <w:numFmt w:val="decimal"/>
      <w:lvlText w:val="%1."/>
      <w:lvlJc w:val="left"/>
      <w:pPr>
        <w:ind w:left="720" w:hanging="360"/>
      </w:pPr>
      <w:rPr>
        <w:rFonts w:ascii="Calibri" w:eastAsia="Times New Roman" w:hAnsi="Calibri" w:cs="Calibri" w:hint="default"/>
        <w:b/>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42C0AA3"/>
    <w:multiLevelType w:val="multilevel"/>
    <w:tmpl w:val="74E4A8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8B5A25"/>
    <w:multiLevelType w:val="hybridMultilevel"/>
    <w:tmpl w:val="46C2D52A"/>
    <w:lvl w:ilvl="0" w:tplc="BE7AD0D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EA25BBF"/>
    <w:multiLevelType w:val="hybridMultilevel"/>
    <w:tmpl w:val="F0A47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00BFA"/>
    <w:multiLevelType w:val="hybridMultilevel"/>
    <w:tmpl w:val="02A4CEA6"/>
    <w:lvl w:ilvl="0" w:tplc="CF7AFDB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28075438"/>
    <w:multiLevelType w:val="hybridMultilevel"/>
    <w:tmpl w:val="E5F200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41E88"/>
    <w:multiLevelType w:val="hybridMultilevel"/>
    <w:tmpl w:val="1D7EC5A8"/>
    <w:lvl w:ilvl="0" w:tplc="802A525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CDD4C63"/>
    <w:multiLevelType w:val="hybridMultilevel"/>
    <w:tmpl w:val="DDA48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4C4B4D"/>
    <w:multiLevelType w:val="hybridMultilevel"/>
    <w:tmpl w:val="292A9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BF7507"/>
    <w:multiLevelType w:val="hybridMultilevel"/>
    <w:tmpl w:val="C2C47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9469A"/>
    <w:multiLevelType w:val="hybridMultilevel"/>
    <w:tmpl w:val="67EAE4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807C9"/>
    <w:multiLevelType w:val="hybridMultilevel"/>
    <w:tmpl w:val="AF7EF71E"/>
    <w:lvl w:ilvl="0" w:tplc="30D6FC7A">
      <w:start w:val="1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4739CB"/>
    <w:multiLevelType w:val="hybridMultilevel"/>
    <w:tmpl w:val="A308FA34"/>
    <w:lvl w:ilvl="0" w:tplc="7B7CC8E2">
      <w:start w:val="1"/>
      <w:numFmt w:val="lowerLetter"/>
      <w:lvlText w:val="%1)"/>
      <w:lvlJc w:val="left"/>
      <w:pPr>
        <w:ind w:left="690" w:hanging="360"/>
      </w:pPr>
      <w:rPr>
        <w:rFonts w:cs="Times New Roman" w:hint="default"/>
        <w:b w:val="0"/>
      </w:rPr>
    </w:lvl>
    <w:lvl w:ilvl="1" w:tplc="04150017">
      <w:start w:val="1"/>
      <w:numFmt w:val="lowerLetter"/>
      <w:lvlText w:val="%2)"/>
      <w:lvlJc w:val="left"/>
      <w:pPr>
        <w:ind w:left="1410" w:hanging="360"/>
      </w:pPr>
    </w:lvl>
    <w:lvl w:ilvl="2" w:tplc="0415001B" w:tentative="1">
      <w:start w:val="1"/>
      <w:numFmt w:val="lowerRoman"/>
      <w:lvlText w:val="%3."/>
      <w:lvlJc w:val="right"/>
      <w:pPr>
        <w:ind w:left="2130" w:hanging="180"/>
      </w:pPr>
      <w:rPr>
        <w:rFonts w:cs="Times New Roman"/>
      </w:rPr>
    </w:lvl>
    <w:lvl w:ilvl="3" w:tplc="0415000F" w:tentative="1">
      <w:start w:val="1"/>
      <w:numFmt w:val="decimal"/>
      <w:lvlText w:val="%4."/>
      <w:lvlJc w:val="left"/>
      <w:pPr>
        <w:ind w:left="2850" w:hanging="360"/>
      </w:pPr>
      <w:rPr>
        <w:rFonts w:cs="Times New Roman"/>
      </w:rPr>
    </w:lvl>
    <w:lvl w:ilvl="4" w:tplc="04150019" w:tentative="1">
      <w:start w:val="1"/>
      <w:numFmt w:val="lowerLetter"/>
      <w:lvlText w:val="%5."/>
      <w:lvlJc w:val="left"/>
      <w:pPr>
        <w:ind w:left="3570" w:hanging="360"/>
      </w:pPr>
      <w:rPr>
        <w:rFonts w:cs="Times New Roman"/>
      </w:rPr>
    </w:lvl>
    <w:lvl w:ilvl="5" w:tplc="0415001B" w:tentative="1">
      <w:start w:val="1"/>
      <w:numFmt w:val="lowerRoman"/>
      <w:lvlText w:val="%6."/>
      <w:lvlJc w:val="right"/>
      <w:pPr>
        <w:ind w:left="4290" w:hanging="180"/>
      </w:pPr>
      <w:rPr>
        <w:rFonts w:cs="Times New Roman"/>
      </w:rPr>
    </w:lvl>
    <w:lvl w:ilvl="6" w:tplc="0415000F" w:tentative="1">
      <w:start w:val="1"/>
      <w:numFmt w:val="decimal"/>
      <w:lvlText w:val="%7."/>
      <w:lvlJc w:val="left"/>
      <w:pPr>
        <w:ind w:left="5010" w:hanging="360"/>
      </w:pPr>
      <w:rPr>
        <w:rFonts w:cs="Times New Roman"/>
      </w:rPr>
    </w:lvl>
    <w:lvl w:ilvl="7" w:tplc="04150019" w:tentative="1">
      <w:start w:val="1"/>
      <w:numFmt w:val="lowerLetter"/>
      <w:lvlText w:val="%8."/>
      <w:lvlJc w:val="left"/>
      <w:pPr>
        <w:ind w:left="5730" w:hanging="360"/>
      </w:pPr>
      <w:rPr>
        <w:rFonts w:cs="Times New Roman"/>
      </w:rPr>
    </w:lvl>
    <w:lvl w:ilvl="8" w:tplc="0415001B" w:tentative="1">
      <w:start w:val="1"/>
      <w:numFmt w:val="lowerRoman"/>
      <w:lvlText w:val="%9."/>
      <w:lvlJc w:val="right"/>
      <w:pPr>
        <w:ind w:left="6450" w:hanging="180"/>
      </w:pPr>
      <w:rPr>
        <w:rFonts w:cs="Times New Roman"/>
      </w:rPr>
    </w:lvl>
  </w:abstractNum>
  <w:abstractNum w:abstractNumId="20" w15:restartNumberingAfterBreak="0">
    <w:nsid w:val="45627AA0"/>
    <w:multiLevelType w:val="hybridMultilevel"/>
    <w:tmpl w:val="32F09C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897461"/>
    <w:multiLevelType w:val="hybridMultilevel"/>
    <w:tmpl w:val="F37A1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E7512F4"/>
    <w:multiLevelType w:val="hybridMultilevel"/>
    <w:tmpl w:val="19F8B9B0"/>
    <w:lvl w:ilvl="0" w:tplc="1C6CCB92">
      <w:start w:val="1"/>
      <w:numFmt w:val="decimal"/>
      <w:lvlText w:val="%1)"/>
      <w:lvlJc w:val="left"/>
      <w:pPr>
        <w:ind w:left="1080" w:hanging="360"/>
      </w:pPr>
      <w:rPr>
        <w:rFonts w:cs="Times New Roman" w:hint="default"/>
        <w:b/>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3" w15:restartNumberingAfterBreak="0">
    <w:nsid w:val="55282E51"/>
    <w:multiLevelType w:val="multilevel"/>
    <w:tmpl w:val="3B78DE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8F585D"/>
    <w:multiLevelType w:val="hybridMultilevel"/>
    <w:tmpl w:val="18782A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6755E4"/>
    <w:multiLevelType w:val="hybridMultilevel"/>
    <w:tmpl w:val="396A08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B600D2"/>
    <w:multiLevelType w:val="hybridMultilevel"/>
    <w:tmpl w:val="05E0BC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4C680A"/>
    <w:multiLevelType w:val="hybridMultilevel"/>
    <w:tmpl w:val="1D7EC5A8"/>
    <w:lvl w:ilvl="0" w:tplc="802A525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16771EE"/>
    <w:multiLevelType w:val="multilevel"/>
    <w:tmpl w:val="F7F28F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5C63A7"/>
    <w:multiLevelType w:val="hybridMultilevel"/>
    <w:tmpl w:val="9B9C3772"/>
    <w:lvl w:ilvl="0" w:tplc="3508EE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AD70EE1"/>
    <w:multiLevelType w:val="hybridMultilevel"/>
    <w:tmpl w:val="D180B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C106A"/>
    <w:multiLevelType w:val="hybridMultilevel"/>
    <w:tmpl w:val="2DF6B9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3C7145"/>
    <w:multiLevelType w:val="hybridMultilevel"/>
    <w:tmpl w:val="B6DE14C6"/>
    <w:lvl w:ilvl="0" w:tplc="667AEB58">
      <w:start w:val="1"/>
      <w:numFmt w:val="decimal"/>
      <w:lvlText w:val="%1."/>
      <w:lvlJc w:val="left"/>
      <w:pPr>
        <w:ind w:left="720" w:hanging="360"/>
      </w:pPr>
      <w:rPr>
        <w:rFonts w:ascii="Calibri" w:eastAsia="Times New Roman" w:hAnsi="Calibri" w:cs="Calibr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5B4005"/>
    <w:multiLevelType w:val="hybridMultilevel"/>
    <w:tmpl w:val="BE184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7B81162"/>
    <w:multiLevelType w:val="hybridMultilevel"/>
    <w:tmpl w:val="31029838"/>
    <w:lvl w:ilvl="0" w:tplc="8ECA60B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5" w15:restartNumberingAfterBreak="0">
    <w:nsid w:val="78B75351"/>
    <w:multiLevelType w:val="hybridMultilevel"/>
    <w:tmpl w:val="675C9DC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6" w15:restartNumberingAfterBreak="0">
    <w:nsid w:val="7E526353"/>
    <w:multiLevelType w:val="hybridMultilevel"/>
    <w:tmpl w:val="AD6ED5A4"/>
    <w:lvl w:ilvl="0" w:tplc="EAA8D1A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F953D64"/>
    <w:multiLevelType w:val="hybridMultilevel"/>
    <w:tmpl w:val="0A8A9F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29"/>
  </w:num>
  <w:num w:numId="5">
    <w:abstractNumId w:val="7"/>
  </w:num>
  <w:num w:numId="6">
    <w:abstractNumId w:val="22"/>
  </w:num>
  <w:num w:numId="7">
    <w:abstractNumId w:val="9"/>
  </w:num>
  <w:num w:numId="8">
    <w:abstractNumId w:val="3"/>
  </w:num>
  <w:num w:numId="9">
    <w:abstractNumId w:val="19"/>
  </w:num>
  <w:num w:numId="10">
    <w:abstractNumId w:val="32"/>
  </w:num>
  <w:num w:numId="11">
    <w:abstractNumId w:val="36"/>
  </w:num>
  <w:num w:numId="12">
    <w:abstractNumId w:val="2"/>
  </w:num>
  <w:num w:numId="13">
    <w:abstractNumId w:val="27"/>
  </w:num>
  <w:num w:numId="14">
    <w:abstractNumId w:val="13"/>
  </w:num>
  <w:num w:numId="15">
    <w:abstractNumId w:val="8"/>
  </w:num>
  <w:num w:numId="16">
    <w:abstractNumId w:val="23"/>
  </w:num>
  <w:num w:numId="17">
    <w:abstractNumId w:val="0"/>
  </w:num>
  <w:num w:numId="18">
    <w:abstractNumId w:val="28"/>
  </w:num>
  <w:num w:numId="19">
    <w:abstractNumId w:val="18"/>
  </w:num>
  <w:num w:numId="20">
    <w:abstractNumId w:val="10"/>
  </w:num>
  <w:num w:numId="21">
    <w:abstractNumId w:val="37"/>
  </w:num>
  <w:num w:numId="22">
    <w:abstractNumId w:val="26"/>
  </w:num>
  <w:num w:numId="23">
    <w:abstractNumId w:val="24"/>
  </w:num>
  <w:num w:numId="24">
    <w:abstractNumId w:val="30"/>
  </w:num>
  <w:num w:numId="25">
    <w:abstractNumId w:val="31"/>
  </w:num>
  <w:num w:numId="26">
    <w:abstractNumId w:val="17"/>
  </w:num>
  <w:num w:numId="27">
    <w:abstractNumId w:val="12"/>
  </w:num>
  <w:num w:numId="28">
    <w:abstractNumId w:val="25"/>
  </w:num>
  <w:num w:numId="29">
    <w:abstractNumId w:val="14"/>
  </w:num>
  <w:num w:numId="30">
    <w:abstractNumId w:val="35"/>
  </w:num>
  <w:num w:numId="31">
    <w:abstractNumId w:val="21"/>
  </w:num>
  <w:num w:numId="32">
    <w:abstractNumId w:val="34"/>
  </w:num>
  <w:num w:numId="33">
    <w:abstractNumId w:val="5"/>
  </w:num>
  <w:num w:numId="34">
    <w:abstractNumId w:val="20"/>
  </w:num>
  <w:num w:numId="35">
    <w:abstractNumId w:val="33"/>
  </w:num>
  <w:num w:numId="36">
    <w:abstractNumId w:val="16"/>
  </w:num>
  <w:num w:numId="37">
    <w:abstractNumId w:val="15"/>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27F"/>
    <w:rsid w:val="00001CF8"/>
    <w:rsid w:val="00002EA1"/>
    <w:rsid w:val="00010D35"/>
    <w:rsid w:val="0001428F"/>
    <w:rsid w:val="00014FF1"/>
    <w:rsid w:val="000169C1"/>
    <w:rsid w:val="00021708"/>
    <w:rsid w:val="00023A43"/>
    <w:rsid w:val="00024172"/>
    <w:rsid w:val="000268B0"/>
    <w:rsid w:val="00027335"/>
    <w:rsid w:val="000320F7"/>
    <w:rsid w:val="00036FBB"/>
    <w:rsid w:val="00040E61"/>
    <w:rsid w:val="00044333"/>
    <w:rsid w:val="000454BA"/>
    <w:rsid w:val="00053CB9"/>
    <w:rsid w:val="00055C0E"/>
    <w:rsid w:val="00057FCB"/>
    <w:rsid w:val="00062BE1"/>
    <w:rsid w:val="000639BB"/>
    <w:rsid w:val="000703CF"/>
    <w:rsid w:val="0007267C"/>
    <w:rsid w:val="00073105"/>
    <w:rsid w:val="00074E13"/>
    <w:rsid w:val="00075258"/>
    <w:rsid w:val="00076873"/>
    <w:rsid w:val="00077272"/>
    <w:rsid w:val="000772C6"/>
    <w:rsid w:val="00080A2E"/>
    <w:rsid w:val="000870AA"/>
    <w:rsid w:val="00087CF1"/>
    <w:rsid w:val="0009131C"/>
    <w:rsid w:val="000939B5"/>
    <w:rsid w:val="00093F46"/>
    <w:rsid w:val="00097C37"/>
    <w:rsid w:val="000A3B68"/>
    <w:rsid w:val="000B3322"/>
    <w:rsid w:val="000B3EE1"/>
    <w:rsid w:val="000B5CAD"/>
    <w:rsid w:val="000B5E34"/>
    <w:rsid w:val="000B7BE8"/>
    <w:rsid w:val="000C3948"/>
    <w:rsid w:val="000C4AEF"/>
    <w:rsid w:val="000C5752"/>
    <w:rsid w:val="000D03CF"/>
    <w:rsid w:val="000D06DA"/>
    <w:rsid w:val="000D2100"/>
    <w:rsid w:val="000D4A12"/>
    <w:rsid w:val="000D65AC"/>
    <w:rsid w:val="000D6C0C"/>
    <w:rsid w:val="000D6DAC"/>
    <w:rsid w:val="000D6ECE"/>
    <w:rsid w:val="000E7F4C"/>
    <w:rsid w:val="000F0B53"/>
    <w:rsid w:val="000F1613"/>
    <w:rsid w:val="000F1F4E"/>
    <w:rsid w:val="000F3DFD"/>
    <w:rsid w:val="000F5D7F"/>
    <w:rsid w:val="0010180C"/>
    <w:rsid w:val="00102DCC"/>
    <w:rsid w:val="00103749"/>
    <w:rsid w:val="00111D73"/>
    <w:rsid w:val="00120130"/>
    <w:rsid w:val="00120E77"/>
    <w:rsid w:val="001253B8"/>
    <w:rsid w:val="00125481"/>
    <w:rsid w:val="00127A48"/>
    <w:rsid w:val="001325F2"/>
    <w:rsid w:val="00133E0E"/>
    <w:rsid w:val="00135FA5"/>
    <w:rsid w:val="001400FA"/>
    <w:rsid w:val="0014054D"/>
    <w:rsid w:val="00142F5F"/>
    <w:rsid w:val="00145AA6"/>
    <w:rsid w:val="00147B22"/>
    <w:rsid w:val="00154FCD"/>
    <w:rsid w:val="001551E7"/>
    <w:rsid w:val="0015589A"/>
    <w:rsid w:val="00162410"/>
    <w:rsid w:val="00174DBF"/>
    <w:rsid w:val="00175436"/>
    <w:rsid w:val="00175849"/>
    <w:rsid w:val="00177E4A"/>
    <w:rsid w:val="00180209"/>
    <w:rsid w:val="00181A96"/>
    <w:rsid w:val="00185327"/>
    <w:rsid w:val="001906E6"/>
    <w:rsid w:val="0019109C"/>
    <w:rsid w:val="0019154A"/>
    <w:rsid w:val="00196157"/>
    <w:rsid w:val="0019785C"/>
    <w:rsid w:val="001A1CF1"/>
    <w:rsid w:val="001A2910"/>
    <w:rsid w:val="001A5D41"/>
    <w:rsid w:val="001B1703"/>
    <w:rsid w:val="001B2246"/>
    <w:rsid w:val="001B4871"/>
    <w:rsid w:val="001B6584"/>
    <w:rsid w:val="001B758B"/>
    <w:rsid w:val="001C0264"/>
    <w:rsid w:val="001C2715"/>
    <w:rsid w:val="001C768F"/>
    <w:rsid w:val="001D0E14"/>
    <w:rsid w:val="001D38E2"/>
    <w:rsid w:val="001E194F"/>
    <w:rsid w:val="001E5169"/>
    <w:rsid w:val="001F0D81"/>
    <w:rsid w:val="001F34AB"/>
    <w:rsid w:val="001F5C26"/>
    <w:rsid w:val="001F7228"/>
    <w:rsid w:val="001F792E"/>
    <w:rsid w:val="0020053B"/>
    <w:rsid w:val="0020600B"/>
    <w:rsid w:val="0021072E"/>
    <w:rsid w:val="002139AF"/>
    <w:rsid w:val="00213BB3"/>
    <w:rsid w:val="00214A6F"/>
    <w:rsid w:val="002158C0"/>
    <w:rsid w:val="00222B33"/>
    <w:rsid w:val="002238D0"/>
    <w:rsid w:val="002268A2"/>
    <w:rsid w:val="0023275F"/>
    <w:rsid w:val="002340B6"/>
    <w:rsid w:val="002459AC"/>
    <w:rsid w:val="002466A2"/>
    <w:rsid w:val="00247BD0"/>
    <w:rsid w:val="00251D43"/>
    <w:rsid w:val="00256A6B"/>
    <w:rsid w:val="002609E9"/>
    <w:rsid w:val="00273ED3"/>
    <w:rsid w:val="002770B5"/>
    <w:rsid w:val="00277889"/>
    <w:rsid w:val="00286EB2"/>
    <w:rsid w:val="00287063"/>
    <w:rsid w:val="00294A1E"/>
    <w:rsid w:val="00294ED0"/>
    <w:rsid w:val="00295F87"/>
    <w:rsid w:val="002A01A5"/>
    <w:rsid w:val="002A3A99"/>
    <w:rsid w:val="002A512B"/>
    <w:rsid w:val="002A69AF"/>
    <w:rsid w:val="002B1B07"/>
    <w:rsid w:val="002B3289"/>
    <w:rsid w:val="002B4750"/>
    <w:rsid w:val="002B55D8"/>
    <w:rsid w:val="002B69FA"/>
    <w:rsid w:val="002C23C6"/>
    <w:rsid w:val="002C3E13"/>
    <w:rsid w:val="002C4DB9"/>
    <w:rsid w:val="002C5322"/>
    <w:rsid w:val="002D596A"/>
    <w:rsid w:val="002D76B1"/>
    <w:rsid w:val="002D7881"/>
    <w:rsid w:val="002D7C24"/>
    <w:rsid w:val="002F2EC4"/>
    <w:rsid w:val="002F76E5"/>
    <w:rsid w:val="00300D6D"/>
    <w:rsid w:val="003018C2"/>
    <w:rsid w:val="003029BC"/>
    <w:rsid w:val="00303976"/>
    <w:rsid w:val="00303A6B"/>
    <w:rsid w:val="003046BA"/>
    <w:rsid w:val="00304953"/>
    <w:rsid w:val="00305E2A"/>
    <w:rsid w:val="00314BBF"/>
    <w:rsid w:val="00316A76"/>
    <w:rsid w:val="003205E0"/>
    <w:rsid w:val="0032692A"/>
    <w:rsid w:val="00333EAC"/>
    <w:rsid w:val="003370FB"/>
    <w:rsid w:val="00341847"/>
    <w:rsid w:val="00342A1B"/>
    <w:rsid w:val="00344647"/>
    <w:rsid w:val="00344C7D"/>
    <w:rsid w:val="00345F2B"/>
    <w:rsid w:val="003463E1"/>
    <w:rsid w:val="00351B6A"/>
    <w:rsid w:val="0035294C"/>
    <w:rsid w:val="00356EC0"/>
    <w:rsid w:val="00363626"/>
    <w:rsid w:val="00364240"/>
    <w:rsid w:val="0036427F"/>
    <w:rsid w:val="00366A6F"/>
    <w:rsid w:val="00373385"/>
    <w:rsid w:val="00376482"/>
    <w:rsid w:val="00384C18"/>
    <w:rsid w:val="00386882"/>
    <w:rsid w:val="00387EBD"/>
    <w:rsid w:val="00393524"/>
    <w:rsid w:val="003970F4"/>
    <w:rsid w:val="00397F92"/>
    <w:rsid w:val="003A25FD"/>
    <w:rsid w:val="003A3812"/>
    <w:rsid w:val="003A77D3"/>
    <w:rsid w:val="003B051D"/>
    <w:rsid w:val="003B0F15"/>
    <w:rsid w:val="003B17B9"/>
    <w:rsid w:val="003C58C6"/>
    <w:rsid w:val="003C622A"/>
    <w:rsid w:val="003D1B70"/>
    <w:rsid w:val="003D2B5B"/>
    <w:rsid w:val="003D5C4E"/>
    <w:rsid w:val="003D6755"/>
    <w:rsid w:val="003D6A1A"/>
    <w:rsid w:val="003E0A60"/>
    <w:rsid w:val="003E0FE8"/>
    <w:rsid w:val="003E773F"/>
    <w:rsid w:val="003F20E7"/>
    <w:rsid w:val="003F2B84"/>
    <w:rsid w:val="003F4C6C"/>
    <w:rsid w:val="003F6BBC"/>
    <w:rsid w:val="00403FF3"/>
    <w:rsid w:val="004045CA"/>
    <w:rsid w:val="00406998"/>
    <w:rsid w:val="00406A59"/>
    <w:rsid w:val="004101C0"/>
    <w:rsid w:val="004109FA"/>
    <w:rsid w:val="00411B21"/>
    <w:rsid w:val="00416C34"/>
    <w:rsid w:val="004201B3"/>
    <w:rsid w:val="00421D23"/>
    <w:rsid w:val="00424221"/>
    <w:rsid w:val="00424E30"/>
    <w:rsid w:val="00424EB1"/>
    <w:rsid w:val="00425580"/>
    <w:rsid w:val="004312A7"/>
    <w:rsid w:val="00431F27"/>
    <w:rsid w:val="004356D4"/>
    <w:rsid w:val="00435911"/>
    <w:rsid w:val="004375EC"/>
    <w:rsid w:val="00437949"/>
    <w:rsid w:val="00440611"/>
    <w:rsid w:val="00453C38"/>
    <w:rsid w:val="00453F62"/>
    <w:rsid w:val="004551A6"/>
    <w:rsid w:val="00457A01"/>
    <w:rsid w:val="00461104"/>
    <w:rsid w:val="00461670"/>
    <w:rsid w:val="00462773"/>
    <w:rsid w:val="00463D3B"/>
    <w:rsid w:val="00467BE0"/>
    <w:rsid w:val="00470476"/>
    <w:rsid w:val="0047251F"/>
    <w:rsid w:val="00472FE7"/>
    <w:rsid w:val="00473EB3"/>
    <w:rsid w:val="004763A2"/>
    <w:rsid w:val="00477088"/>
    <w:rsid w:val="0048339F"/>
    <w:rsid w:val="0048385F"/>
    <w:rsid w:val="00483CE4"/>
    <w:rsid w:val="0048523A"/>
    <w:rsid w:val="00490176"/>
    <w:rsid w:val="004929DA"/>
    <w:rsid w:val="00497F47"/>
    <w:rsid w:val="004A3233"/>
    <w:rsid w:val="004A36AD"/>
    <w:rsid w:val="004B1F84"/>
    <w:rsid w:val="004B345B"/>
    <w:rsid w:val="004B36A2"/>
    <w:rsid w:val="004B48E8"/>
    <w:rsid w:val="004B767F"/>
    <w:rsid w:val="004C22D0"/>
    <w:rsid w:val="004C5556"/>
    <w:rsid w:val="004C706C"/>
    <w:rsid w:val="004D012F"/>
    <w:rsid w:val="004D1B25"/>
    <w:rsid w:val="004D49D3"/>
    <w:rsid w:val="004D57AC"/>
    <w:rsid w:val="004E3902"/>
    <w:rsid w:val="004E3D12"/>
    <w:rsid w:val="004E495B"/>
    <w:rsid w:val="004F296D"/>
    <w:rsid w:val="004F2F87"/>
    <w:rsid w:val="00512296"/>
    <w:rsid w:val="005139D4"/>
    <w:rsid w:val="00515BAF"/>
    <w:rsid w:val="005161C8"/>
    <w:rsid w:val="00516DED"/>
    <w:rsid w:val="005214A4"/>
    <w:rsid w:val="00522703"/>
    <w:rsid w:val="005247C0"/>
    <w:rsid w:val="0053005B"/>
    <w:rsid w:val="005333B8"/>
    <w:rsid w:val="00533498"/>
    <w:rsid w:val="00534612"/>
    <w:rsid w:val="00534B32"/>
    <w:rsid w:val="005359EE"/>
    <w:rsid w:val="0054174C"/>
    <w:rsid w:val="00543DCF"/>
    <w:rsid w:val="00544A5D"/>
    <w:rsid w:val="00545B23"/>
    <w:rsid w:val="00546A06"/>
    <w:rsid w:val="00547BDE"/>
    <w:rsid w:val="00547F29"/>
    <w:rsid w:val="00552AFF"/>
    <w:rsid w:val="005536D6"/>
    <w:rsid w:val="0055463F"/>
    <w:rsid w:val="00554A50"/>
    <w:rsid w:val="005553DC"/>
    <w:rsid w:val="00556BDB"/>
    <w:rsid w:val="00557884"/>
    <w:rsid w:val="00562FE5"/>
    <w:rsid w:val="005630C8"/>
    <w:rsid w:val="00563B83"/>
    <w:rsid w:val="00565BF7"/>
    <w:rsid w:val="00566491"/>
    <w:rsid w:val="00572BBE"/>
    <w:rsid w:val="005805B4"/>
    <w:rsid w:val="00580B6E"/>
    <w:rsid w:val="00580F49"/>
    <w:rsid w:val="00585F3E"/>
    <w:rsid w:val="00586889"/>
    <w:rsid w:val="005937E0"/>
    <w:rsid w:val="005A42CB"/>
    <w:rsid w:val="005A6794"/>
    <w:rsid w:val="005A6820"/>
    <w:rsid w:val="005A7A57"/>
    <w:rsid w:val="005B1792"/>
    <w:rsid w:val="005B2AB7"/>
    <w:rsid w:val="005B5ABE"/>
    <w:rsid w:val="005B79B3"/>
    <w:rsid w:val="005C2AB6"/>
    <w:rsid w:val="005C71A6"/>
    <w:rsid w:val="005D14EC"/>
    <w:rsid w:val="005D55E2"/>
    <w:rsid w:val="005D73D7"/>
    <w:rsid w:val="005E2652"/>
    <w:rsid w:val="005E5692"/>
    <w:rsid w:val="005E5C4F"/>
    <w:rsid w:val="005E6880"/>
    <w:rsid w:val="005F013F"/>
    <w:rsid w:val="005F1399"/>
    <w:rsid w:val="005F2CC4"/>
    <w:rsid w:val="00600EEC"/>
    <w:rsid w:val="00603F44"/>
    <w:rsid w:val="00605B87"/>
    <w:rsid w:val="00610B9A"/>
    <w:rsid w:val="00612628"/>
    <w:rsid w:val="00620AFC"/>
    <w:rsid w:val="00622289"/>
    <w:rsid w:val="006222AD"/>
    <w:rsid w:val="00623A97"/>
    <w:rsid w:val="00625B00"/>
    <w:rsid w:val="0062637C"/>
    <w:rsid w:val="006264CC"/>
    <w:rsid w:val="00636FD5"/>
    <w:rsid w:val="006376D8"/>
    <w:rsid w:val="00640972"/>
    <w:rsid w:val="00641AB8"/>
    <w:rsid w:val="00642385"/>
    <w:rsid w:val="00642E70"/>
    <w:rsid w:val="00645097"/>
    <w:rsid w:val="00645ABF"/>
    <w:rsid w:val="00655A76"/>
    <w:rsid w:val="00657654"/>
    <w:rsid w:val="00662917"/>
    <w:rsid w:val="006665F7"/>
    <w:rsid w:val="0067319B"/>
    <w:rsid w:val="006733FD"/>
    <w:rsid w:val="0067508F"/>
    <w:rsid w:val="0067725F"/>
    <w:rsid w:val="006858F0"/>
    <w:rsid w:val="006866E9"/>
    <w:rsid w:val="00691708"/>
    <w:rsid w:val="00694397"/>
    <w:rsid w:val="00696B8A"/>
    <w:rsid w:val="006979F4"/>
    <w:rsid w:val="006A208D"/>
    <w:rsid w:val="006A5597"/>
    <w:rsid w:val="006A7DA0"/>
    <w:rsid w:val="006B068C"/>
    <w:rsid w:val="006B2CF5"/>
    <w:rsid w:val="006B3523"/>
    <w:rsid w:val="006B368C"/>
    <w:rsid w:val="006B36D4"/>
    <w:rsid w:val="006B6C9F"/>
    <w:rsid w:val="006C09B7"/>
    <w:rsid w:val="006C1191"/>
    <w:rsid w:val="006C3844"/>
    <w:rsid w:val="006C463B"/>
    <w:rsid w:val="006C5296"/>
    <w:rsid w:val="006C7205"/>
    <w:rsid w:val="006C7DC9"/>
    <w:rsid w:val="006D54B1"/>
    <w:rsid w:val="006D5DE4"/>
    <w:rsid w:val="006D70D9"/>
    <w:rsid w:val="006E2C2F"/>
    <w:rsid w:val="006E3DC1"/>
    <w:rsid w:val="006F011E"/>
    <w:rsid w:val="006F1EB5"/>
    <w:rsid w:val="006F5389"/>
    <w:rsid w:val="006F6E60"/>
    <w:rsid w:val="00701D22"/>
    <w:rsid w:val="00703E4A"/>
    <w:rsid w:val="007045C3"/>
    <w:rsid w:val="00705441"/>
    <w:rsid w:val="00706479"/>
    <w:rsid w:val="007127FC"/>
    <w:rsid w:val="00712CCB"/>
    <w:rsid w:val="00713F64"/>
    <w:rsid w:val="00715F2A"/>
    <w:rsid w:val="00716298"/>
    <w:rsid w:val="00733728"/>
    <w:rsid w:val="007355BC"/>
    <w:rsid w:val="0073597D"/>
    <w:rsid w:val="00735B60"/>
    <w:rsid w:val="00737C88"/>
    <w:rsid w:val="00742556"/>
    <w:rsid w:val="0074349E"/>
    <w:rsid w:val="00745BD0"/>
    <w:rsid w:val="00751904"/>
    <w:rsid w:val="007523A5"/>
    <w:rsid w:val="0075531D"/>
    <w:rsid w:val="00773AED"/>
    <w:rsid w:val="00773BCC"/>
    <w:rsid w:val="00773CC3"/>
    <w:rsid w:val="00774E88"/>
    <w:rsid w:val="00776789"/>
    <w:rsid w:val="007814FB"/>
    <w:rsid w:val="007825A1"/>
    <w:rsid w:val="00786292"/>
    <w:rsid w:val="00790064"/>
    <w:rsid w:val="00791162"/>
    <w:rsid w:val="00791E88"/>
    <w:rsid w:val="00793240"/>
    <w:rsid w:val="00797E80"/>
    <w:rsid w:val="007A1A4A"/>
    <w:rsid w:val="007A240F"/>
    <w:rsid w:val="007A386B"/>
    <w:rsid w:val="007A6358"/>
    <w:rsid w:val="007B4DA8"/>
    <w:rsid w:val="007B5DD4"/>
    <w:rsid w:val="007C1AF1"/>
    <w:rsid w:val="007C22FF"/>
    <w:rsid w:val="007C74CF"/>
    <w:rsid w:val="007D43DF"/>
    <w:rsid w:val="007D70BC"/>
    <w:rsid w:val="007D78F0"/>
    <w:rsid w:val="007E43F1"/>
    <w:rsid w:val="007E4776"/>
    <w:rsid w:val="007E51E9"/>
    <w:rsid w:val="007E7F9B"/>
    <w:rsid w:val="007F1C6C"/>
    <w:rsid w:val="00800A06"/>
    <w:rsid w:val="00800B61"/>
    <w:rsid w:val="00801A21"/>
    <w:rsid w:val="00802A57"/>
    <w:rsid w:val="0080470D"/>
    <w:rsid w:val="00804F4D"/>
    <w:rsid w:val="008060CB"/>
    <w:rsid w:val="00810811"/>
    <w:rsid w:val="00815856"/>
    <w:rsid w:val="00815BEF"/>
    <w:rsid w:val="0081617D"/>
    <w:rsid w:val="008175E3"/>
    <w:rsid w:val="00821DED"/>
    <w:rsid w:val="00830068"/>
    <w:rsid w:val="00833E81"/>
    <w:rsid w:val="008402F0"/>
    <w:rsid w:val="0084300B"/>
    <w:rsid w:val="008431BD"/>
    <w:rsid w:val="00847827"/>
    <w:rsid w:val="00851B93"/>
    <w:rsid w:val="00851C70"/>
    <w:rsid w:val="00855771"/>
    <w:rsid w:val="00856523"/>
    <w:rsid w:val="00860534"/>
    <w:rsid w:val="00862FDA"/>
    <w:rsid w:val="00864060"/>
    <w:rsid w:val="00865925"/>
    <w:rsid w:val="00871878"/>
    <w:rsid w:val="008729C9"/>
    <w:rsid w:val="008755AB"/>
    <w:rsid w:val="00876EA9"/>
    <w:rsid w:val="00876F46"/>
    <w:rsid w:val="0088043A"/>
    <w:rsid w:val="008824DA"/>
    <w:rsid w:val="00884F3F"/>
    <w:rsid w:val="008902E3"/>
    <w:rsid w:val="00895AFC"/>
    <w:rsid w:val="0089723B"/>
    <w:rsid w:val="008A0BFB"/>
    <w:rsid w:val="008A2E18"/>
    <w:rsid w:val="008A66B4"/>
    <w:rsid w:val="008A6DF8"/>
    <w:rsid w:val="008A75C6"/>
    <w:rsid w:val="008B02CF"/>
    <w:rsid w:val="008B07E5"/>
    <w:rsid w:val="008B1F40"/>
    <w:rsid w:val="008B2F15"/>
    <w:rsid w:val="008B49E2"/>
    <w:rsid w:val="008B52A9"/>
    <w:rsid w:val="008C1CBB"/>
    <w:rsid w:val="008C6930"/>
    <w:rsid w:val="008C766B"/>
    <w:rsid w:val="008D098B"/>
    <w:rsid w:val="008D2063"/>
    <w:rsid w:val="008D3732"/>
    <w:rsid w:val="008D48C8"/>
    <w:rsid w:val="008D58A6"/>
    <w:rsid w:val="008D66F5"/>
    <w:rsid w:val="008E6060"/>
    <w:rsid w:val="008F7080"/>
    <w:rsid w:val="00900BB1"/>
    <w:rsid w:val="00901332"/>
    <w:rsid w:val="00902604"/>
    <w:rsid w:val="0090296A"/>
    <w:rsid w:val="00903AA3"/>
    <w:rsid w:val="00904B99"/>
    <w:rsid w:val="00904D13"/>
    <w:rsid w:val="009122E7"/>
    <w:rsid w:val="00912DD4"/>
    <w:rsid w:val="009131C0"/>
    <w:rsid w:val="00920923"/>
    <w:rsid w:val="00921A95"/>
    <w:rsid w:val="00923BFE"/>
    <w:rsid w:val="0092581B"/>
    <w:rsid w:val="00925EAA"/>
    <w:rsid w:val="0092740D"/>
    <w:rsid w:val="009274FB"/>
    <w:rsid w:val="009314FC"/>
    <w:rsid w:val="00931B2C"/>
    <w:rsid w:val="00934465"/>
    <w:rsid w:val="00935435"/>
    <w:rsid w:val="009377CE"/>
    <w:rsid w:val="00943C92"/>
    <w:rsid w:val="00950341"/>
    <w:rsid w:val="00951FB6"/>
    <w:rsid w:val="009562E8"/>
    <w:rsid w:val="00962DA0"/>
    <w:rsid w:val="00963E30"/>
    <w:rsid w:val="00964CA4"/>
    <w:rsid w:val="009672C0"/>
    <w:rsid w:val="00971904"/>
    <w:rsid w:val="00971D75"/>
    <w:rsid w:val="0097351C"/>
    <w:rsid w:val="00973799"/>
    <w:rsid w:val="00981377"/>
    <w:rsid w:val="00984238"/>
    <w:rsid w:val="00984D81"/>
    <w:rsid w:val="00986D46"/>
    <w:rsid w:val="00990681"/>
    <w:rsid w:val="00996B87"/>
    <w:rsid w:val="009A0CFF"/>
    <w:rsid w:val="009A0E2C"/>
    <w:rsid w:val="009A1B47"/>
    <w:rsid w:val="009A4DC2"/>
    <w:rsid w:val="009A7D67"/>
    <w:rsid w:val="009A7D95"/>
    <w:rsid w:val="009C4D3C"/>
    <w:rsid w:val="009C5502"/>
    <w:rsid w:val="009C5948"/>
    <w:rsid w:val="009C7E52"/>
    <w:rsid w:val="009D207E"/>
    <w:rsid w:val="009D419D"/>
    <w:rsid w:val="009D5FC4"/>
    <w:rsid w:val="009D6530"/>
    <w:rsid w:val="009E33E3"/>
    <w:rsid w:val="009F02FB"/>
    <w:rsid w:val="009F3027"/>
    <w:rsid w:val="009F4531"/>
    <w:rsid w:val="009F62B3"/>
    <w:rsid w:val="00A04D8A"/>
    <w:rsid w:val="00A0546E"/>
    <w:rsid w:val="00A1709C"/>
    <w:rsid w:val="00A217BD"/>
    <w:rsid w:val="00A22D7B"/>
    <w:rsid w:val="00A24B97"/>
    <w:rsid w:val="00A25125"/>
    <w:rsid w:val="00A25F89"/>
    <w:rsid w:val="00A2763D"/>
    <w:rsid w:val="00A27CD5"/>
    <w:rsid w:val="00A361EA"/>
    <w:rsid w:val="00A37ED4"/>
    <w:rsid w:val="00A43333"/>
    <w:rsid w:val="00A44321"/>
    <w:rsid w:val="00A44971"/>
    <w:rsid w:val="00A46BFF"/>
    <w:rsid w:val="00A47DD6"/>
    <w:rsid w:val="00A51287"/>
    <w:rsid w:val="00A51536"/>
    <w:rsid w:val="00A63A3D"/>
    <w:rsid w:val="00A72D23"/>
    <w:rsid w:val="00A743B2"/>
    <w:rsid w:val="00A8212D"/>
    <w:rsid w:val="00A82743"/>
    <w:rsid w:val="00A87B62"/>
    <w:rsid w:val="00A92322"/>
    <w:rsid w:val="00A924A6"/>
    <w:rsid w:val="00A92F56"/>
    <w:rsid w:val="00A9429D"/>
    <w:rsid w:val="00A942FC"/>
    <w:rsid w:val="00A96533"/>
    <w:rsid w:val="00A977B1"/>
    <w:rsid w:val="00A97E46"/>
    <w:rsid w:val="00AA38CD"/>
    <w:rsid w:val="00AB0561"/>
    <w:rsid w:val="00AB3CA4"/>
    <w:rsid w:val="00AB4947"/>
    <w:rsid w:val="00AB57CF"/>
    <w:rsid w:val="00AB79C1"/>
    <w:rsid w:val="00AC1A26"/>
    <w:rsid w:val="00AC32D1"/>
    <w:rsid w:val="00AC44EC"/>
    <w:rsid w:val="00AD2AB8"/>
    <w:rsid w:val="00AD4F1C"/>
    <w:rsid w:val="00AD6149"/>
    <w:rsid w:val="00AD6569"/>
    <w:rsid w:val="00AE0C85"/>
    <w:rsid w:val="00AE0D47"/>
    <w:rsid w:val="00AE1BDC"/>
    <w:rsid w:val="00AF29D9"/>
    <w:rsid w:val="00AF39AF"/>
    <w:rsid w:val="00AF5867"/>
    <w:rsid w:val="00AF7C3A"/>
    <w:rsid w:val="00B02539"/>
    <w:rsid w:val="00B05F1A"/>
    <w:rsid w:val="00B10671"/>
    <w:rsid w:val="00B13CD2"/>
    <w:rsid w:val="00B22C9A"/>
    <w:rsid w:val="00B24081"/>
    <w:rsid w:val="00B26E9A"/>
    <w:rsid w:val="00B27D0B"/>
    <w:rsid w:val="00B33CCD"/>
    <w:rsid w:val="00B34C0C"/>
    <w:rsid w:val="00B431E9"/>
    <w:rsid w:val="00B449F4"/>
    <w:rsid w:val="00B4537E"/>
    <w:rsid w:val="00B4546A"/>
    <w:rsid w:val="00B45BDA"/>
    <w:rsid w:val="00B46E8D"/>
    <w:rsid w:val="00B47D93"/>
    <w:rsid w:val="00B519E9"/>
    <w:rsid w:val="00B546F6"/>
    <w:rsid w:val="00B57393"/>
    <w:rsid w:val="00B627B9"/>
    <w:rsid w:val="00B638B5"/>
    <w:rsid w:val="00B6568D"/>
    <w:rsid w:val="00B717C3"/>
    <w:rsid w:val="00B7445F"/>
    <w:rsid w:val="00B75DCA"/>
    <w:rsid w:val="00B80017"/>
    <w:rsid w:val="00B81F51"/>
    <w:rsid w:val="00B95004"/>
    <w:rsid w:val="00B96007"/>
    <w:rsid w:val="00B9691D"/>
    <w:rsid w:val="00B977DC"/>
    <w:rsid w:val="00BA1440"/>
    <w:rsid w:val="00BA3B32"/>
    <w:rsid w:val="00BA3F2C"/>
    <w:rsid w:val="00BB39AF"/>
    <w:rsid w:val="00BB3C6F"/>
    <w:rsid w:val="00BB41F7"/>
    <w:rsid w:val="00BB4B46"/>
    <w:rsid w:val="00BB4CF7"/>
    <w:rsid w:val="00BB5052"/>
    <w:rsid w:val="00BC021C"/>
    <w:rsid w:val="00BC4D1A"/>
    <w:rsid w:val="00BC66DD"/>
    <w:rsid w:val="00BC70DE"/>
    <w:rsid w:val="00BC7940"/>
    <w:rsid w:val="00BD02FC"/>
    <w:rsid w:val="00BD215D"/>
    <w:rsid w:val="00BD3FEC"/>
    <w:rsid w:val="00BD4855"/>
    <w:rsid w:val="00BD656D"/>
    <w:rsid w:val="00BD67F3"/>
    <w:rsid w:val="00BD7AD6"/>
    <w:rsid w:val="00BE52B9"/>
    <w:rsid w:val="00BE5BC1"/>
    <w:rsid w:val="00BE6D25"/>
    <w:rsid w:val="00BF3090"/>
    <w:rsid w:val="00BF429A"/>
    <w:rsid w:val="00BF7D51"/>
    <w:rsid w:val="00BF7F67"/>
    <w:rsid w:val="00C019E3"/>
    <w:rsid w:val="00C0444B"/>
    <w:rsid w:val="00C05D13"/>
    <w:rsid w:val="00C1212F"/>
    <w:rsid w:val="00C1320D"/>
    <w:rsid w:val="00C139B7"/>
    <w:rsid w:val="00C13BA5"/>
    <w:rsid w:val="00C208B7"/>
    <w:rsid w:val="00C2454A"/>
    <w:rsid w:val="00C251B9"/>
    <w:rsid w:val="00C25754"/>
    <w:rsid w:val="00C27C34"/>
    <w:rsid w:val="00C3205C"/>
    <w:rsid w:val="00C328A8"/>
    <w:rsid w:val="00C360E7"/>
    <w:rsid w:val="00C365A8"/>
    <w:rsid w:val="00C3719B"/>
    <w:rsid w:val="00C40E7A"/>
    <w:rsid w:val="00C42BE4"/>
    <w:rsid w:val="00C44EF8"/>
    <w:rsid w:val="00C45CDD"/>
    <w:rsid w:val="00C4771D"/>
    <w:rsid w:val="00C52FD3"/>
    <w:rsid w:val="00C551D9"/>
    <w:rsid w:val="00C6175F"/>
    <w:rsid w:val="00C632EB"/>
    <w:rsid w:val="00C67CDA"/>
    <w:rsid w:val="00C70398"/>
    <w:rsid w:val="00C707FD"/>
    <w:rsid w:val="00C73797"/>
    <w:rsid w:val="00C7389C"/>
    <w:rsid w:val="00C80FD7"/>
    <w:rsid w:val="00C91387"/>
    <w:rsid w:val="00C9186C"/>
    <w:rsid w:val="00C96151"/>
    <w:rsid w:val="00CA1DAA"/>
    <w:rsid w:val="00CA28C2"/>
    <w:rsid w:val="00CA5F2B"/>
    <w:rsid w:val="00CA61F3"/>
    <w:rsid w:val="00CB05D3"/>
    <w:rsid w:val="00CB1FEF"/>
    <w:rsid w:val="00CB2F52"/>
    <w:rsid w:val="00CB4605"/>
    <w:rsid w:val="00CB7C98"/>
    <w:rsid w:val="00CC369E"/>
    <w:rsid w:val="00CC6BC0"/>
    <w:rsid w:val="00CD45E2"/>
    <w:rsid w:val="00CD6C16"/>
    <w:rsid w:val="00CD74B1"/>
    <w:rsid w:val="00CE0E0F"/>
    <w:rsid w:val="00CE7254"/>
    <w:rsid w:val="00CE7E0E"/>
    <w:rsid w:val="00D04E32"/>
    <w:rsid w:val="00D056F2"/>
    <w:rsid w:val="00D077EE"/>
    <w:rsid w:val="00D11233"/>
    <w:rsid w:val="00D11B80"/>
    <w:rsid w:val="00D12104"/>
    <w:rsid w:val="00D13AFA"/>
    <w:rsid w:val="00D1498F"/>
    <w:rsid w:val="00D211C7"/>
    <w:rsid w:val="00D213B3"/>
    <w:rsid w:val="00D23EE4"/>
    <w:rsid w:val="00D275BD"/>
    <w:rsid w:val="00D312A3"/>
    <w:rsid w:val="00D31B45"/>
    <w:rsid w:val="00D31CFA"/>
    <w:rsid w:val="00D31F59"/>
    <w:rsid w:val="00D322BB"/>
    <w:rsid w:val="00D33FEA"/>
    <w:rsid w:val="00D36681"/>
    <w:rsid w:val="00D4038B"/>
    <w:rsid w:val="00D4062B"/>
    <w:rsid w:val="00D47FA5"/>
    <w:rsid w:val="00D5018C"/>
    <w:rsid w:val="00D514B2"/>
    <w:rsid w:val="00D514D8"/>
    <w:rsid w:val="00D51BDB"/>
    <w:rsid w:val="00D52C55"/>
    <w:rsid w:val="00D54531"/>
    <w:rsid w:val="00D60BDA"/>
    <w:rsid w:val="00D7015C"/>
    <w:rsid w:val="00D758A4"/>
    <w:rsid w:val="00D773E6"/>
    <w:rsid w:val="00D778F8"/>
    <w:rsid w:val="00D8469F"/>
    <w:rsid w:val="00D85BA8"/>
    <w:rsid w:val="00D877A8"/>
    <w:rsid w:val="00D87939"/>
    <w:rsid w:val="00D91105"/>
    <w:rsid w:val="00D91AC8"/>
    <w:rsid w:val="00D9220A"/>
    <w:rsid w:val="00D9718E"/>
    <w:rsid w:val="00DA2E35"/>
    <w:rsid w:val="00DA497D"/>
    <w:rsid w:val="00DA7829"/>
    <w:rsid w:val="00DB0998"/>
    <w:rsid w:val="00DB0EBD"/>
    <w:rsid w:val="00DB3B76"/>
    <w:rsid w:val="00DB3C0A"/>
    <w:rsid w:val="00DC7D9E"/>
    <w:rsid w:val="00DD494B"/>
    <w:rsid w:val="00DD613A"/>
    <w:rsid w:val="00DD67FC"/>
    <w:rsid w:val="00DD7C3E"/>
    <w:rsid w:val="00DE05FA"/>
    <w:rsid w:val="00DE2028"/>
    <w:rsid w:val="00DE4C2A"/>
    <w:rsid w:val="00DE54D9"/>
    <w:rsid w:val="00DF1CA5"/>
    <w:rsid w:val="00DF2149"/>
    <w:rsid w:val="00DF34B5"/>
    <w:rsid w:val="00DF3688"/>
    <w:rsid w:val="00DF77C8"/>
    <w:rsid w:val="00E024AA"/>
    <w:rsid w:val="00E06118"/>
    <w:rsid w:val="00E12031"/>
    <w:rsid w:val="00E15830"/>
    <w:rsid w:val="00E15DF5"/>
    <w:rsid w:val="00E176EF"/>
    <w:rsid w:val="00E17DE7"/>
    <w:rsid w:val="00E249CE"/>
    <w:rsid w:val="00E24B29"/>
    <w:rsid w:val="00E24BB9"/>
    <w:rsid w:val="00E31D54"/>
    <w:rsid w:val="00E3467E"/>
    <w:rsid w:val="00E353D6"/>
    <w:rsid w:val="00E365F7"/>
    <w:rsid w:val="00E41C09"/>
    <w:rsid w:val="00E43CE1"/>
    <w:rsid w:val="00E4556F"/>
    <w:rsid w:val="00E51F12"/>
    <w:rsid w:val="00E52987"/>
    <w:rsid w:val="00E52FAB"/>
    <w:rsid w:val="00E55777"/>
    <w:rsid w:val="00E60952"/>
    <w:rsid w:val="00E635C2"/>
    <w:rsid w:val="00E63623"/>
    <w:rsid w:val="00E6784F"/>
    <w:rsid w:val="00E71FCB"/>
    <w:rsid w:val="00E75926"/>
    <w:rsid w:val="00E815B6"/>
    <w:rsid w:val="00E841AC"/>
    <w:rsid w:val="00E86B50"/>
    <w:rsid w:val="00E8710C"/>
    <w:rsid w:val="00E87613"/>
    <w:rsid w:val="00E927EF"/>
    <w:rsid w:val="00E97A78"/>
    <w:rsid w:val="00EA0238"/>
    <w:rsid w:val="00EA23FB"/>
    <w:rsid w:val="00EA2EED"/>
    <w:rsid w:val="00EA4ADC"/>
    <w:rsid w:val="00EA5167"/>
    <w:rsid w:val="00EB1B03"/>
    <w:rsid w:val="00EB27CC"/>
    <w:rsid w:val="00EB2FF9"/>
    <w:rsid w:val="00EB4AFE"/>
    <w:rsid w:val="00EB704C"/>
    <w:rsid w:val="00EC4678"/>
    <w:rsid w:val="00ED55F1"/>
    <w:rsid w:val="00ED7DE3"/>
    <w:rsid w:val="00EE236F"/>
    <w:rsid w:val="00EE26EE"/>
    <w:rsid w:val="00EE3224"/>
    <w:rsid w:val="00EE5221"/>
    <w:rsid w:val="00EE6545"/>
    <w:rsid w:val="00EF11BF"/>
    <w:rsid w:val="00F00FE9"/>
    <w:rsid w:val="00F03A45"/>
    <w:rsid w:val="00F05109"/>
    <w:rsid w:val="00F0643E"/>
    <w:rsid w:val="00F070F7"/>
    <w:rsid w:val="00F0727C"/>
    <w:rsid w:val="00F11C7B"/>
    <w:rsid w:val="00F13DB9"/>
    <w:rsid w:val="00F15F57"/>
    <w:rsid w:val="00F22398"/>
    <w:rsid w:val="00F23508"/>
    <w:rsid w:val="00F23D2E"/>
    <w:rsid w:val="00F24AAA"/>
    <w:rsid w:val="00F24C97"/>
    <w:rsid w:val="00F24FE8"/>
    <w:rsid w:val="00F25F4A"/>
    <w:rsid w:val="00F264B1"/>
    <w:rsid w:val="00F27A05"/>
    <w:rsid w:val="00F30246"/>
    <w:rsid w:val="00F303D4"/>
    <w:rsid w:val="00F30ECC"/>
    <w:rsid w:val="00F3292B"/>
    <w:rsid w:val="00F35329"/>
    <w:rsid w:val="00F36F33"/>
    <w:rsid w:val="00F45CD7"/>
    <w:rsid w:val="00F46A30"/>
    <w:rsid w:val="00F56BEA"/>
    <w:rsid w:val="00F6432A"/>
    <w:rsid w:val="00F64364"/>
    <w:rsid w:val="00F649D5"/>
    <w:rsid w:val="00F6734A"/>
    <w:rsid w:val="00F7579D"/>
    <w:rsid w:val="00F75ABC"/>
    <w:rsid w:val="00F77CEB"/>
    <w:rsid w:val="00F77DA4"/>
    <w:rsid w:val="00F80BA7"/>
    <w:rsid w:val="00F82A5A"/>
    <w:rsid w:val="00F82A5F"/>
    <w:rsid w:val="00F830DE"/>
    <w:rsid w:val="00F868F4"/>
    <w:rsid w:val="00F91B36"/>
    <w:rsid w:val="00F95364"/>
    <w:rsid w:val="00FA0109"/>
    <w:rsid w:val="00FA1416"/>
    <w:rsid w:val="00FA26AA"/>
    <w:rsid w:val="00FA36FE"/>
    <w:rsid w:val="00FA417A"/>
    <w:rsid w:val="00FB1845"/>
    <w:rsid w:val="00FB2574"/>
    <w:rsid w:val="00FB35C4"/>
    <w:rsid w:val="00FB3A67"/>
    <w:rsid w:val="00FB6634"/>
    <w:rsid w:val="00FB7994"/>
    <w:rsid w:val="00FC2A96"/>
    <w:rsid w:val="00FC332B"/>
    <w:rsid w:val="00FC3B39"/>
    <w:rsid w:val="00FC5158"/>
    <w:rsid w:val="00FD0CFF"/>
    <w:rsid w:val="00FD1318"/>
    <w:rsid w:val="00FD4929"/>
    <w:rsid w:val="00FD6BD4"/>
    <w:rsid w:val="00FE10FA"/>
    <w:rsid w:val="00FE3903"/>
    <w:rsid w:val="00FF136F"/>
    <w:rsid w:val="00FF18C7"/>
    <w:rsid w:val="00FF1B54"/>
    <w:rsid w:val="00FF3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899CD"/>
  <w15:chartTrackingRefBased/>
  <w15:docId w15:val="{E80D52DA-CA79-49CF-8C7A-1AECDE2F8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419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C019E3"/>
  </w:style>
  <w:style w:type="paragraph" w:customStyle="1" w:styleId="Default">
    <w:name w:val="Default"/>
    <w:rsid w:val="00C019E3"/>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uiPriority w:val="99"/>
    <w:unhideWhenUsed/>
    <w:qFormat/>
    <w:rsid w:val="00C019E3"/>
    <w:rPr>
      <w:rFonts w:cs="Times New Roman"/>
      <w:sz w:val="16"/>
      <w:szCs w:val="16"/>
    </w:rPr>
  </w:style>
  <w:style w:type="paragraph" w:styleId="Tekstkomentarza">
    <w:name w:val="annotation text"/>
    <w:basedOn w:val="Normalny"/>
    <w:link w:val="TekstkomentarzaZnak"/>
    <w:uiPriority w:val="99"/>
    <w:unhideWhenUsed/>
    <w:qFormat/>
    <w:rsid w:val="00C019E3"/>
    <w:pPr>
      <w:widowControl w:val="0"/>
      <w:autoSpaceDE w:val="0"/>
      <w:autoSpaceDN w:val="0"/>
      <w:adjustRightInd w:val="0"/>
      <w:spacing w:after="0" w:line="40" w:lineRule="atLeast"/>
      <w:jc w:val="both"/>
    </w:pPr>
    <w:rPr>
      <w:rFonts w:ascii="Helvetica" w:eastAsia="Times New Roman" w:hAnsi="Helvetica" w:cs="Helvetica"/>
      <w:color w:val="000000"/>
      <w:sz w:val="20"/>
      <w:szCs w:val="20"/>
      <w:lang w:eastAsia="pl-PL"/>
    </w:rPr>
  </w:style>
  <w:style w:type="character" w:customStyle="1" w:styleId="TekstkomentarzaZnak">
    <w:name w:val="Tekst komentarza Znak"/>
    <w:basedOn w:val="Domylnaczcionkaakapitu"/>
    <w:link w:val="Tekstkomentarza"/>
    <w:uiPriority w:val="99"/>
    <w:qFormat/>
    <w:rsid w:val="00C019E3"/>
    <w:rPr>
      <w:rFonts w:ascii="Helvetica" w:eastAsia="Times New Roman" w:hAnsi="Helvetica" w:cs="Helvetica"/>
      <w:color w:val="000000"/>
      <w:sz w:val="20"/>
      <w:szCs w:val="20"/>
      <w:lang w:eastAsia="pl-PL"/>
    </w:rPr>
  </w:style>
  <w:style w:type="paragraph" w:customStyle="1" w:styleId="TYTUAKTUprzedmiotregulacjiustawylubrozporzdzenia">
    <w:name w:val="TYTUŁ_AKTU – przedmiot regulacji ustawy lub rozporządzenia"/>
    <w:next w:val="Normalny"/>
    <w:uiPriority w:val="99"/>
    <w:rsid w:val="00C019E3"/>
    <w:pPr>
      <w:keepNext/>
      <w:suppressAutoHyphens/>
      <w:spacing w:before="120" w:after="360" w:line="360" w:lineRule="auto"/>
      <w:jc w:val="center"/>
    </w:pPr>
    <w:rPr>
      <w:rFonts w:ascii="Times" w:eastAsia="Times New Roman" w:hAnsi="Times" w:cs="Arial"/>
      <w:b/>
      <w:bCs/>
      <w:sz w:val="24"/>
      <w:szCs w:val="24"/>
      <w:lang w:eastAsia="pl-PL"/>
    </w:rPr>
  </w:style>
  <w:style w:type="paragraph" w:styleId="Akapitzlist">
    <w:name w:val="List Paragraph"/>
    <w:basedOn w:val="Normalny"/>
    <w:uiPriority w:val="34"/>
    <w:qFormat/>
    <w:rsid w:val="00C019E3"/>
    <w:pPr>
      <w:spacing w:after="0" w:line="240" w:lineRule="auto"/>
      <w:ind w:left="720"/>
      <w:contextualSpacing/>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019E3"/>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C019E3"/>
    <w:rPr>
      <w:rFonts w:ascii="Segoe UI" w:eastAsia="Times New Roman" w:hAnsi="Segoe UI" w:cs="Segoe UI"/>
      <w:sz w:val="18"/>
      <w:szCs w:val="18"/>
      <w:lang w:eastAsia="pl-PL"/>
    </w:rPr>
  </w:style>
  <w:style w:type="paragraph" w:customStyle="1" w:styleId="divpoint">
    <w:name w:val="div.point"/>
    <w:uiPriority w:val="99"/>
    <w:rsid w:val="00C019E3"/>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Bodytext2Bold">
    <w:name w:val="Body text (2) + Bold"/>
    <w:basedOn w:val="Domylnaczcionkaakapitu"/>
    <w:rsid w:val="00C019E3"/>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Bodytext2Italic">
    <w:name w:val="Body text (2) + Italic"/>
    <w:basedOn w:val="Domylnaczcionkaakapitu"/>
    <w:rsid w:val="00C019E3"/>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Bodytext2">
    <w:name w:val="Body text (2)_"/>
    <w:basedOn w:val="Domylnaczcionkaakapitu"/>
    <w:link w:val="Bodytext20"/>
    <w:rsid w:val="00C019E3"/>
    <w:rPr>
      <w:shd w:val="clear" w:color="auto" w:fill="FFFFFF"/>
    </w:rPr>
  </w:style>
  <w:style w:type="character" w:customStyle="1" w:styleId="Bodytext2BoldSpacing2pt">
    <w:name w:val="Body text (2) + Bold;Spacing 2 pt"/>
    <w:basedOn w:val="Bodytext2"/>
    <w:rsid w:val="00C019E3"/>
    <w:rPr>
      <w:rFonts w:ascii="Times New Roman" w:eastAsia="Times New Roman" w:hAnsi="Times New Roman" w:cs="Times New Roman"/>
      <w:b/>
      <w:bCs/>
      <w:color w:val="000000"/>
      <w:spacing w:val="40"/>
      <w:w w:val="100"/>
      <w:position w:val="0"/>
      <w:shd w:val="clear" w:color="auto" w:fill="FFFFFF"/>
      <w:lang w:val="pl-PL" w:eastAsia="pl-PL" w:bidi="pl-PL"/>
    </w:rPr>
  </w:style>
  <w:style w:type="paragraph" w:customStyle="1" w:styleId="Bodytext20">
    <w:name w:val="Body text (2)"/>
    <w:basedOn w:val="Normalny"/>
    <w:link w:val="Bodytext2"/>
    <w:rsid w:val="00C019E3"/>
    <w:pPr>
      <w:widowControl w:val="0"/>
      <w:shd w:val="clear" w:color="auto" w:fill="FFFFFF"/>
      <w:spacing w:before="420" w:after="280" w:line="244" w:lineRule="exact"/>
      <w:ind w:hanging="340"/>
      <w:jc w:val="right"/>
    </w:pPr>
  </w:style>
  <w:style w:type="character" w:customStyle="1" w:styleId="Bodytext2Arial95ptBold">
    <w:name w:val="Body text (2) + Arial;9.5 pt;Bold"/>
    <w:basedOn w:val="Bodytext2"/>
    <w:rsid w:val="00C019E3"/>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Heading2">
    <w:name w:val="Heading #2_"/>
    <w:basedOn w:val="Domylnaczcionkaakapitu"/>
    <w:link w:val="Heading20"/>
    <w:rsid w:val="00C019E3"/>
    <w:rPr>
      <w:b/>
      <w:bCs/>
      <w:shd w:val="clear" w:color="auto" w:fill="FFFFFF"/>
    </w:rPr>
  </w:style>
  <w:style w:type="paragraph" w:customStyle="1" w:styleId="Heading20">
    <w:name w:val="Heading #2"/>
    <w:basedOn w:val="Normalny"/>
    <w:link w:val="Heading2"/>
    <w:rsid w:val="00C019E3"/>
    <w:pPr>
      <w:widowControl w:val="0"/>
      <w:shd w:val="clear" w:color="auto" w:fill="FFFFFF"/>
      <w:spacing w:after="0" w:line="298" w:lineRule="exact"/>
      <w:ind w:hanging="340"/>
      <w:outlineLvl w:val="1"/>
    </w:pPr>
    <w:rPr>
      <w:b/>
      <w:bCs/>
    </w:rPr>
  </w:style>
  <w:style w:type="character" w:styleId="Pogrubienie">
    <w:name w:val="Strong"/>
    <w:uiPriority w:val="22"/>
    <w:qFormat/>
    <w:rsid w:val="00C019E3"/>
    <w:rPr>
      <w:b/>
      <w:bCs/>
    </w:rPr>
  </w:style>
  <w:style w:type="paragraph" w:styleId="Tematkomentarza">
    <w:name w:val="annotation subject"/>
    <w:basedOn w:val="Tekstkomentarza"/>
    <w:next w:val="Tekstkomentarza"/>
    <w:link w:val="TematkomentarzaZnak"/>
    <w:uiPriority w:val="99"/>
    <w:semiHidden/>
    <w:unhideWhenUsed/>
    <w:rsid w:val="00C019E3"/>
    <w:pPr>
      <w:widowControl/>
      <w:autoSpaceDE/>
      <w:autoSpaceDN/>
      <w:adjustRightInd/>
      <w:spacing w:line="240" w:lineRule="auto"/>
      <w:jc w:val="left"/>
    </w:pPr>
    <w:rPr>
      <w:rFonts w:ascii="Times New Roman" w:hAnsi="Times New Roman" w:cs="Times New Roman"/>
      <w:b/>
      <w:bCs/>
      <w:color w:val="auto"/>
    </w:rPr>
  </w:style>
  <w:style w:type="character" w:customStyle="1" w:styleId="TematkomentarzaZnak">
    <w:name w:val="Temat komentarza Znak"/>
    <w:basedOn w:val="TekstkomentarzaZnak"/>
    <w:link w:val="Tematkomentarza"/>
    <w:uiPriority w:val="99"/>
    <w:semiHidden/>
    <w:rsid w:val="00C019E3"/>
    <w:rPr>
      <w:rFonts w:ascii="Times New Roman" w:eastAsia="Times New Roman" w:hAnsi="Times New Roman" w:cs="Times New Roman"/>
      <w:b/>
      <w:bCs/>
      <w:color w:val="000000"/>
      <w:sz w:val="20"/>
      <w:szCs w:val="20"/>
      <w:lang w:eastAsia="pl-PL"/>
    </w:rPr>
  </w:style>
  <w:style w:type="paragraph" w:styleId="Poprawka">
    <w:name w:val="Revision"/>
    <w:hidden/>
    <w:uiPriority w:val="99"/>
    <w:semiHidden/>
    <w:rsid w:val="00C019E3"/>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019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C019E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019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019E3"/>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9C550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5502"/>
    <w:rPr>
      <w:sz w:val="20"/>
      <w:szCs w:val="20"/>
    </w:rPr>
  </w:style>
  <w:style w:type="character" w:styleId="Odwoanieprzypisudolnego">
    <w:name w:val="footnote reference"/>
    <w:basedOn w:val="Domylnaczcionkaakapitu"/>
    <w:uiPriority w:val="99"/>
    <w:semiHidden/>
    <w:unhideWhenUsed/>
    <w:rsid w:val="009C5502"/>
    <w:rPr>
      <w:vertAlign w:val="superscript"/>
    </w:rPr>
  </w:style>
  <w:style w:type="character" w:customStyle="1" w:styleId="Stopka0">
    <w:name w:val="Stopka_"/>
    <w:basedOn w:val="Domylnaczcionkaakapitu"/>
    <w:link w:val="Stopka1"/>
    <w:rsid w:val="00D31CFA"/>
    <w:rPr>
      <w:rFonts w:ascii="Times New Roman" w:eastAsia="Times New Roman" w:hAnsi="Times New Roman" w:cs="Times New Roman"/>
      <w:sz w:val="20"/>
      <w:szCs w:val="20"/>
      <w:shd w:val="clear" w:color="auto" w:fill="FFFFFF"/>
    </w:rPr>
  </w:style>
  <w:style w:type="paragraph" w:customStyle="1" w:styleId="Stopka1">
    <w:name w:val="Stopka1"/>
    <w:basedOn w:val="Normalny"/>
    <w:link w:val="Stopka0"/>
    <w:rsid w:val="00D31CFA"/>
    <w:pPr>
      <w:widowControl w:val="0"/>
      <w:shd w:val="clear" w:color="auto" w:fill="FFFFFF"/>
      <w:spacing w:after="240" w:line="240" w:lineRule="auto"/>
      <w:ind w:right="100"/>
      <w:jc w:val="both"/>
    </w:pPr>
    <w:rPr>
      <w:rFonts w:ascii="Times New Roman" w:eastAsia="Times New Roman" w:hAnsi="Times New Roman" w:cs="Times New Roman"/>
      <w:sz w:val="20"/>
      <w:szCs w:val="20"/>
    </w:rPr>
  </w:style>
  <w:style w:type="paragraph" w:customStyle="1" w:styleId="ZPKTzmpktartykuempunktem">
    <w:name w:val="Z/PKT – zm. pkt artykułem (punktem)"/>
    <w:basedOn w:val="Normalny"/>
    <w:uiPriority w:val="31"/>
    <w:qFormat/>
    <w:rsid w:val="00300D6D"/>
    <w:pPr>
      <w:spacing w:after="0" w:line="360" w:lineRule="auto"/>
      <w:ind w:left="102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2564">
      <w:bodyDiv w:val="1"/>
      <w:marLeft w:val="0"/>
      <w:marRight w:val="0"/>
      <w:marTop w:val="0"/>
      <w:marBottom w:val="0"/>
      <w:divBdr>
        <w:top w:val="none" w:sz="0" w:space="0" w:color="auto"/>
        <w:left w:val="none" w:sz="0" w:space="0" w:color="auto"/>
        <w:bottom w:val="none" w:sz="0" w:space="0" w:color="auto"/>
        <w:right w:val="none" w:sz="0" w:space="0" w:color="auto"/>
      </w:divBdr>
    </w:div>
    <w:div w:id="252008976">
      <w:bodyDiv w:val="1"/>
      <w:marLeft w:val="0"/>
      <w:marRight w:val="0"/>
      <w:marTop w:val="0"/>
      <w:marBottom w:val="0"/>
      <w:divBdr>
        <w:top w:val="none" w:sz="0" w:space="0" w:color="auto"/>
        <w:left w:val="none" w:sz="0" w:space="0" w:color="auto"/>
        <w:bottom w:val="none" w:sz="0" w:space="0" w:color="auto"/>
        <w:right w:val="none" w:sz="0" w:space="0" w:color="auto"/>
      </w:divBdr>
    </w:div>
    <w:div w:id="385765575">
      <w:bodyDiv w:val="1"/>
      <w:marLeft w:val="0"/>
      <w:marRight w:val="0"/>
      <w:marTop w:val="0"/>
      <w:marBottom w:val="0"/>
      <w:divBdr>
        <w:top w:val="none" w:sz="0" w:space="0" w:color="auto"/>
        <w:left w:val="none" w:sz="0" w:space="0" w:color="auto"/>
        <w:bottom w:val="none" w:sz="0" w:space="0" w:color="auto"/>
        <w:right w:val="none" w:sz="0" w:space="0" w:color="auto"/>
      </w:divBdr>
    </w:div>
    <w:div w:id="696857290">
      <w:bodyDiv w:val="1"/>
      <w:marLeft w:val="0"/>
      <w:marRight w:val="0"/>
      <w:marTop w:val="0"/>
      <w:marBottom w:val="0"/>
      <w:divBdr>
        <w:top w:val="none" w:sz="0" w:space="0" w:color="auto"/>
        <w:left w:val="none" w:sz="0" w:space="0" w:color="auto"/>
        <w:bottom w:val="none" w:sz="0" w:space="0" w:color="auto"/>
        <w:right w:val="none" w:sz="0" w:space="0" w:color="auto"/>
      </w:divBdr>
    </w:div>
    <w:div w:id="829101774">
      <w:bodyDiv w:val="1"/>
      <w:marLeft w:val="0"/>
      <w:marRight w:val="0"/>
      <w:marTop w:val="0"/>
      <w:marBottom w:val="0"/>
      <w:divBdr>
        <w:top w:val="none" w:sz="0" w:space="0" w:color="auto"/>
        <w:left w:val="none" w:sz="0" w:space="0" w:color="auto"/>
        <w:bottom w:val="none" w:sz="0" w:space="0" w:color="auto"/>
        <w:right w:val="none" w:sz="0" w:space="0" w:color="auto"/>
      </w:divBdr>
    </w:div>
    <w:div w:id="921647184">
      <w:bodyDiv w:val="1"/>
      <w:marLeft w:val="0"/>
      <w:marRight w:val="0"/>
      <w:marTop w:val="0"/>
      <w:marBottom w:val="0"/>
      <w:divBdr>
        <w:top w:val="none" w:sz="0" w:space="0" w:color="auto"/>
        <w:left w:val="none" w:sz="0" w:space="0" w:color="auto"/>
        <w:bottom w:val="none" w:sz="0" w:space="0" w:color="auto"/>
        <w:right w:val="none" w:sz="0" w:space="0" w:color="auto"/>
      </w:divBdr>
      <w:divsChild>
        <w:div w:id="307589776">
          <w:marLeft w:val="0"/>
          <w:marRight w:val="0"/>
          <w:marTop w:val="72"/>
          <w:marBottom w:val="0"/>
          <w:divBdr>
            <w:top w:val="none" w:sz="0" w:space="0" w:color="auto"/>
            <w:left w:val="none" w:sz="0" w:space="0" w:color="auto"/>
            <w:bottom w:val="none" w:sz="0" w:space="0" w:color="auto"/>
            <w:right w:val="none" w:sz="0" w:space="0" w:color="auto"/>
          </w:divBdr>
        </w:div>
        <w:div w:id="1743261552">
          <w:marLeft w:val="0"/>
          <w:marRight w:val="0"/>
          <w:marTop w:val="72"/>
          <w:marBottom w:val="0"/>
          <w:divBdr>
            <w:top w:val="none" w:sz="0" w:space="0" w:color="auto"/>
            <w:left w:val="none" w:sz="0" w:space="0" w:color="auto"/>
            <w:bottom w:val="none" w:sz="0" w:space="0" w:color="auto"/>
            <w:right w:val="none" w:sz="0" w:space="0" w:color="auto"/>
          </w:divBdr>
          <w:divsChild>
            <w:div w:id="59173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25052">
      <w:bodyDiv w:val="1"/>
      <w:marLeft w:val="0"/>
      <w:marRight w:val="0"/>
      <w:marTop w:val="0"/>
      <w:marBottom w:val="0"/>
      <w:divBdr>
        <w:top w:val="none" w:sz="0" w:space="0" w:color="auto"/>
        <w:left w:val="none" w:sz="0" w:space="0" w:color="auto"/>
        <w:bottom w:val="none" w:sz="0" w:space="0" w:color="auto"/>
        <w:right w:val="none" w:sz="0" w:space="0" w:color="auto"/>
      </w:divBdr>
    </w:div>
    <w:div w:id="1067801327">
      <w:bodyDiv w:val="1"/>
      <w:marLeft w:val="0"/>
      <w:marRight w:val="0"/>
      <w:marTop w:val="0"/>
      <w:marBottom w:val="0"/>
      <w:divBdr>
        <w:top w:val="none" w:sz="0" w:space="0" w:color="auto"/>
        <w:left w:val="none" w:sz="0" w:space="0" w:color="auto"/>
        <w:bottom w:val="none" w:sz="0" w:space="0" w:color="auto"/>
        <w:right w:val="none" w:sz="0" w:space="0" w:color="auto"/>
      </w:divBdr>
    </w:div>
    <w:div w:id="1097680040">
      <w:bodyDiv w:val="1"/>
      <w:marLeft w:val="0"/>
      <w:marRight w:val="0"/>
      <w:marTop w:val="0"/>
      <w:marBottom w:val="0"/>
      <w:divBdr>
        <w:top w:val="none" w:sz="0" w:space="0" w:color="auto"/>
        <w:left w:val="none" w:sz="0" w:space="0" w:color="auto"/>
        <w:bottom w:val="none" w:sz="0" w:space="0" w:color="auto"/>
        <w:right w:val="none" w:sz="0" w:space="0" w:color="auto"/>
      </w:divBdr>
    </w:div>
    <w:div w:id="1154293148">
      <w:bodyDiv w:val="1"/>
      <w:marLeft w:val="0"/>
      <w:marRight w:val="0"/>
      <w:marTop w:val="0"/>
      <w:marBottom w:val="0"/>
      <w:divBdr>
        <w:top w:val="none" w:sz="0" w:space="0" w:color="auto"/>
        <w:left w:val="none" w:sz="0" w:space="0" w:color="auto"/>
        <w:bottom w:val="none" w:sz="0" w:space="0" w:color="auto"/>
        <w:right w:val="none" w:sz="0" w:space="0" w:color="auto"/>
      </w:divBdr>
    </w:div>
    <w:div w:id="1457678698">
      <w:bodyDiv w:val="1"/>
      <w:marLeft w:val="0"/>
      <w:marRight w:val="0"/>
      <w:marTop w:val="0"/>
      <w:marBottom w:val="0"/>
      <w:divBdr>
        <w:top w:val="none" w:sz="0" w:space="0" w:color="auto"/>
        <w:left w:val="none" w:sz="0" w:space="0" w:color="auto"/>
        <w:bottom w:val="none" w:sz="0" w:space="0" w:color="auto"/>
        <w:right w:val="none" w:sz="0" w:space="0" w:color="auto"/>
      </w:divBdr>
    </w:div>
    <w:div w:id="155172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7490</Words>
  <Characters>44942</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Arciszewska Katarzyna</dc:creator>
  <cp:keywords/>
  <dc:description/>
  <cp:lastModifiedBy>Misiec Ewa</cp:lastModifiedBy>
  <cp:revision>3</cp:revision>
  <dcterms:created xsi:type="dcterms:W3CDTF">2022-01-24T11:57:00Z</dcterms:created>
  <dcterms:modified xsi:type="dcterms:W3CDTF">2022-01-27T11:26:00Z</dcterms:modified>
</cp:coreProperties>
</file>